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3F9" w:rsidRPr="003370DD" w:rsidRDefault="00D903F9" w:rsidP="00D903F9">
      <w:pPr>
        <w:spacing w:after="0" w:line="240" w:lineRule="auto"/>
        <w:rPr>
          <w:rFonts w:ascii="Arial" w:hAnsi="Arial" w:cs="Arial"/>
          <w:sz w:val="20"/>
          <w:szCs w:val="20"/>
        </w:rPr>
      </w:pPr>
      <w:proofErr w:type="spellStart"/>
      <w:r w:rsidRPr="003370DD">
        <w:rPr>
          <w:rFonts w:ascii="Arial" w:hAnsi="Arial" w:cs="Arial"/>
          <w:sz w:val="20"/>
          <w:szCs w:val="20"/>
        </w:rPr>
        <w:t>Müge</w:t>
      </w:r>
      <w:proofErr w:type="spellEnd"/>
      <w:r w:rsidRPr="003370DD">
        <w:rPr>
          <w:rFonts w:ascii="Arial" w:hAnsi="Arial" w:cs="Arial"/>
          <w:sz w:val="20"/>
          <w:szCs w:val="20"/>
        </w:rPr>
        <w:t xml:space="preserve"> Durusu</w:t>
      </w:r>
    </w:p>
    <w:p w:rsidR="00D903F9" w:rsidRPr="003370DD" w:rsidRDefault="00D903F9" w:rsidP="00D903F9">
      <w:pPr>
        <w:spacing w:after="0" w:line="240" w:lineRule="auto"/>
        <w:rPr>
          <w:rFonts w:ascii="Arial" w:hAnsi="Arial" w:cs="Arial"/>
          <w:sz w:val="20"/>
          <w:szCs w:val="20"/>
        </w:rPr>
      </w:pPr>
      <w:r w:rsidRPr="003370DD">
        <w:rPr>
          <w:rFonts w:ascii="Arial" w:hAnsi="Arial" w:cs="Arial"/>
          <w:sz w:val="20"/>
          <w:szCs w:val="20"/>
        </w:rPr>
        <w:t>EGYT 1500: Art and Architecture of Egypt</w:t>
      </w:r>
    </w:p>
    <w:p w:rsidR="00D903F9" w:rsidRPr="003370DD" w:rsidRDefault="00D903F9" w:rsidP="00D903F9">
      <w:pPr>
        <w:spacing w:after="0" w:line="240" w:lineRule="auto"/>
        <w:rPr>
          <w:rFonts w:ascii="Arial" w:hAnsi="Arial" w:cs="Arial"/>
          <w:sz w:val="20"/>
          <w:szCs w:val="20"/>
        </w:rPr>
      </w:pPr>
      <w:r w:rsidRPr="003370DD">
        <w:rPr>
          <w:rFonts w:ascii="Arial" w:hAnsi="Arial" w:cs="Arial"/>
          <w:sz w:val="20"/>
          <w:szCs w:val="20"/>
        </w:rPr>
        <w:t>April 4, 2011: Late Old Kingdom Private</w:t>
      </w:r>
    </w:p>
    <w:p w:rsidR="00D903F9" w:rsidRDefault="00D903F9">
      <w:pPr>
        <w:rPr>
          <w:rFonts w:ascii="Arial" w:hAnsi="Arial" w:cs="Arial"/>
          <w:sz w:val="20"/>
          <w:szCs w:val="20"/>
        </w:rPr>
      </w:pPr>
    </w:p>
    <w:p w:rsidR="00C3036E" w:rsidRPr="003370DD" w:rsidRDefault="00C3036E">
      <w:pPr>
        <w:rPr>
          <w:rFonts w:ascii="Arial" w:hAnsi="Arial" w:cs="Arial"/>
          <w:sz w:val="20"/>
          <w:szCs w:val="20"/>
        </w:rPr>
      </w:pPr>
    </w:p>
    <w:p w:rsidR="00D903F9" w:rsidRPr="00C721D6" w:rsidRDefault="00D903F9" w:rsidP="00D903F9">
      <w:pPr>
        <w:jc w:val="center"/>
        <w:rPr>
          <w:rFonts w:ascii="Arial" w:hAnsi="Arial" w:cs="Arial"/>
          <w:b/>
          <w:sz w:val="26"/>
          <w:szCs w:val="26"/>
        </w:rPr>
      </w:pPr>
      <w:r w:rsidRPr="00C721D6">
        <w:rPr>
          <w:rFonts w:ascii="Arial" w:hAnsi="Arial" w:cs="Arial"/>
          <w:b/>
          <w:sz w:val="26"/>
          <w:szCs w:val="26"/>
        </w:rPr>
        <w:t>QAR TOMB COMPLEX</w:t>
      </w:r>
      <w:r w:rsidR="00C721D6">
        <w:rPr>
          <w:rFonts w:ascii="Arial" w:hAnsi="Arial" w:cs="Arial"/>
          <w:b/>
          <w:sz w:val="26"/>
          <w:szCs w:val="26"/>
        </w:rPr>
        <w:t xml:space="preserve"> (ABUSIR, 6</w:t>
      </w:r>
      <w:r w:rsidR="00C721D6" w:rsidRPr="00C721D6">
        <w:rPr>
          <w:rFonts w:ascii="Arial" w:hAnsi="Arial" w:cs="Arial"/>
          <w:b/>
          <w:sz w:val="26"/>
          <w:szCs w:val="26"/>
          <w:vertAlign w:val="superscript"/>
        </w:rPr>
        <w:t>TH</w:t>
      </w:r>
      <w:r w:rsidR="00C721D6">
        <w:rPr>
          <w:rFonts w:ascii="Arial" w:hAnsi="Arial" w:cs="Arial"/>
          <w:b/>
          <w:sz w:val="26"/>
          <w:szCs w:val="26"/>
        </w:rPr>
        <w:t xml:space="preserve"> DYNASTY)</w:t>
      </w:r>
    </w:p>
    <w:p w:rsidR="00D903F9" w:rsidRPr="003370DD" w:rsidRDefault="00D903F9">
      <w:pPr>
        <w:rPr>
          <w:rFonts w:ascii="Arial" w:hAnsi="Arial" w:cs="Arial"/>
          <w:sz w:val="20"/>
          <w:szCs w:val="20"/>
        </w:rPr>
      </w:pPr>
    </w:p>
    <w:p w:rsidR="003931EC" w:rsidRPr="00C721D6" w:rsidRDefault="003931EC" w:rsidP="00C721D6">
      <w:pPr>
        <w:rPr>
          <w:b/>
        </w:rPr>
      </w:pPr>
      <w:r w:rsidRPr="00C721D6">
        <w:rPr>
          <w:b/>
        </w:rPr>
        <w:t>General Context and Significance:</w:t>
      </w:r>
    </w:p>
    <w:p w:rsidR="00A40F9C" w:rsidRDefault="000E004D" w:rsidP="00C721D6">
      <w:r w:rsidRPr="003370DD">
        <w:t xml:space="preserve">The tomb of vizier </w:t>
      </w:r>
      <w:proofErr w:type="spellStart"/>
      <w:r w:rsidRPr="003370DD">
        <w:t>Qar</w:t>
      </w:r>
      <w:proofErr w:type="spellEnd"/>
      <w:r w:rsidRPr="003370DD">
        <w:t xml:space="preserve"> and his family is located in South </w:t>
      </w:r>
      <w:proofErr w:type="spellStart"/>
      <w:r w:rsidRPr="003370DD">
        <w:t>Abusir</w:t>
      </w:r>
      <w:proofErr w:type="spellEnd"/>
      <w:r w:rsidRPr="003370DD">
        <w:t xml:space="preserve">, in close </w:t>
      </w:r>
      <w:proofErr w:type="spellStart"/>
      <w:r w:rsidRPr="003370DD">
        <w:t>approximity</w:t>
      </w:r>
      <w:proofErr w:type="spellEnd"/>
      <w:r w:rsidRPr="003370DD">
        <w:t xml:space="preserve"> to the North and Central Saqqara cemeteries</w:t>
      </w:r>
      <w:r w:rsidR="00306171" w:rsidRPr="003370DD">
        <w:t xml:space="preserve"> and the stepped pyramid of </w:t>
      </w:r>
      <w:proofErr w:type="spellStart"/>
      <w:r w:rsidR="00306171" w:rsidRPr="003370DD">
        <w:t>Djoser</w:t>
      </w:r>
      <w:proofErr w:type="spellEnd"/>
      <w:r w:rsidRPr="003370DD">
        <w:t xml:space="preserve"> (</w:t>
      </w:r>
      <w:r w:rsidR="00D903F9" w:rsidRPr="003370DD">
        <w:fldChar w:fldCharType="begin"/>
      </w:r>
      <w:r w:rsidR="00D903F9" w:rsidRPr="003370DD">
        <w:instrText xml:space="preserve"> REF _Ref289862340 \h </w:instrText>
      </w:r>
      <w:r w:rsidR="003370DD" w:rsidRPr="003370DD">
        <w:instrText xml:space="preserve"> \* MERGEFORMAT </w:instrText>
      </w:r>
      <w:r w:rsidR="00D903F9" w:rsidRPr="003370DD">
        <w:fldChar w:fldCharType="separate"/>
      </w:r>
      <w:r w:rsidR="00D903F9" w:rsidRPr="003370DD">
        <w:t xml:space="preserve">Figure </w:t>
      </w:r>
      <w:r w:rsidR="00D903F9" w:rsidRPr="003370DD">
        <w:rPr>
          <w:noProof/>
        </w:rPr>
        <w:t>1</w:t>
      </w:r>
      <w:r w:rsidR="00D903F9" w:rsidRPr="003370DD">
        <w:fldChar w:fldCharType="end"/>
      </w:r>
      <w:r w:rsidRPr="003370DD">
        <w:t xml:space="preserve">). </w:t>
      </w:r>
      <w:proofErr w:type="spellStart"/>
      <w:r w:rsidR="00A40F9C">
        <w:t>Abusir</w:t>
      </w:r>
      <w:proofErr w:type="spellEnd"/>
      <w:r w:rsidR="00A40F9C">
        <w:t xml:space="preserve"> was a burial ground that gained importance with the 5</w:t>
      </w:r>
      <w:r w:rsidR="00A40F9C" w:rsidRPr="00A40F9C">
        <w:rPr>
          <w:vertAlign w:val="superscript"/>
        </w:rPr>
        <w:t>th</w:t>
      </w:r>
      <w:r w:rsidR="00A40F9C">
        <w:t xml:space="preserve"> dynasty, especially with the Sun Temples and pyramid complexes of kings </w:t>
      </w:r>
      <w:proofErr w:type="spellStart"/>
      <w:r w:rsidR="00A40F9C">
        <w:t>Sahure</w:t>
      </w:r>
      <w:proofErr w:type="spellEnd"/>
      <w:r w:rsidR="00A40F9C">
        <w:t xml:space="preserve">, </w:t>
      </w:r>
      <w:proofErr w:type="spellStart"/>
      <w:r w:rsidR="00A40F9C">
        <w:t>Neferirkare</w:t>
      </w:r>
      <w:proofErr w:type="spellEnd"/>
      <w:r w:rsidR="00A40F9C">
        <w:t xml:space="preserve">, </w:t>
      </w:r>
      <w:proofErr w:type="spellStart"/>
      <w:r w:rsidR="00A40F9C">
        <w:t>Neferefre</w:t>
      </w:r>
      <w:proofErr w:type="spellEnd"/>
      <w:r w:rsidR="00A40F9C">
        <w:t xml:space="preserve"> and </w:t>
      </w:r>
      <w:proofErr w:type="spellStart"/>
      <w:r w:rsidR="00A40F9C">
        <w:t>Niuserre</w:t>
      </w:r>
      <w:proofErr w:type="spellEnd"/>
      <w:r w:rsidR="007A2395">
        <w:t xml:space="preserve"> (</w:t>
      </w:r>
      <w:r w:rsidR="007A2395">
        <w:fldChar w:fldCharType="begin"/>
      </w:r>
      <w:r w:rsidR="007A2395">
        <w:instrText xml:space="preserve"> REF _Ref289938078 \h </w:instrText>
      </w:r>
      <w:r w:rsidR="002C76C5">
        <w:instrText xml:space="preserve"> \* MERGEFORMAT </w:instrText>
      </w:r>
      <w:r w:rsidR="007A2395">
        <w:fldChar w:fldCharType="separate"/>
      </w:r>
      <w:r w:rsidR="007A2395">
        <w:t xml:space="preserve">Figure </w:t>
      </w:r>
      <w:r w:rsidR="007A2395">
        <w:rPr>
          <w:noProof/>
        </w:rPr>
        <w:t>2</w:t>
      </w:r>
      <w:r w:rsidR="007A2395">
        <w:fldChar w:fldCharType="end"/>
      </w:r>
      <w:r w:rsidR="007A2395">
        <w:t>)</w:t>
      </w:r>
      <w:r w:rsidR="00A40F9C">
        <w:t xml:space="preserve">.  </w:t>
      </w:r>
    </w:p>
    <w:p w:rsidR="009075DA" w:rsidRDefault="009075DA" w:rsidP="00C721D6">
      <w:r>
        <w:t xml:space="preserve">Research in </w:t>
      </w:r>
      <w:proofErr w:type="spellStart"/>
      <w:r>
        <w:t>Abusir</w:t>
      </w:r>
      <w:proofErr w:type="spellEnd"/>
      <w:r>
        <w:t xml:space="preserve"> South had been undertaken by M. </w:t>
      </w:r>
      <w:proofErr w:type="spellStart"/>
      <w:r>
        <w:t>Zaki</w:t>
      </w:r>
      <w:proofErr w:type="spellEnd"/>
      <w:r>
        <w:t xml:space="preserve"> </w:t>
      </w:r>
      <w:proofErr w:type="spellStart"/>
      <w:r>
        <w:t>Nour</w:t>
      </w:r>
      <w:proofErr w:type="spellEnd"/>
      <w:r>
        <w:t xml:space="preserve"> in 1945 and 1946. However, the location of his excavations is unknown, although this expedition produced a bulk of 5</w:t>
      </w:r>
      <w:r w:rsidRPr="00AF23CA">
        <w:rPr>
          <w:vertAlign w:val="superscript"/>
        </w:rPr>
        <w:t>th</w:t>
      </w:r>
      <w:r>
        <w:t xml:space="preserve"> and 6</w:t>
      </w:r>
      <w:r w:rsidRPr="00AF23CA">
        <w:rPr>
          <w:vertAlign w:val="superscript"/>
        </w:rPr>
        <w:t>th</w:t>
      </w:r>
      <w:r>
        <w:t xml:space="preserve"> Dynasty offering tables and libation basins. Full-fledged archaeological research did not begin in the </w:t>
      </w:r>
      <w:proofErr w:type="spellStart"/>
      <w:r>
        <w:t>Abusir</w:t>
      </w:r>
      <w:proofErr w:type="spellEnd"/>
      <w:r>
        <w:t xml:space="preserve"> South Field until the Czech Institute of Egyptology decided to launch a long-term project in early 1990s under the directorship of </w:t>
      </w:r>
      <w:proofErr w:type="spellStart"/>
      <w:r>
        <w:t>Miroslav</w:t>
      </w:r>
      <w:proofErr w:type="spellEnd"/>
      <w:r>
        <w:t xml:space="preserve"> </w:t>
      </w:r>
      <w:proofErr w:type="spellStart"/>
      <w:r>
        <w:t>Verner</w:t>
      </w:r>
      <w:proofErr w:type="spellEnd"/>
      <w:r>
        <w:t xml:space="preserve"> (</w:t>
      </w:r>
      <w:proofErr w:type="spellStart"/>
      <w:r>
        <w:t>Barta</w:t>
      </w:r>
      <w:proofErr w:type="spellEnd"/>
      <w:r>
        <w:t xml:space="preserve"> 2001: 332). Recently, research has been directed by </w:t>
      </w:r>
      <w:proofErr w:type="spellStart"/>
      <w:r>
        <w:t>Miroslav</w:t>
      </w:r>
      <w:proofErr w:type="spellEnd"/>
      <w:r>
        <w:t xml:space="preserve"> </w:t>
      </w:r>
      <w:proofErr w:type="spellStart"/>
      <w:r>
        <w:t>Barta</w:t>
      </w:r>
      <w:proofErr w:type="spellEnd"/>
      <w:r>
        <w:t xml:space="preserve">, who has been publishing results in a significant pace. </w:t>
      </w:r>
    </w:p>
    <w:p w:rsidR="002C76C5" w:rsidRDefault="00072978" w:rsidP="00C721D6">
      <w:proofErr w:type="spellStart"/>
      <w:r>
        <w:t>Abusir</w:t>
      </w:r>
      <w:proofErr w:type="spellEnd"/>
      <w:r>
        <w:t xml:space="preserve"> South began to develop at the end of the 3</w:t>
      </w:r>
      <w:r w:rsidRPr="00072978">
        <w:rPr>
          <w:vertAlign w:val="superscript"/>
        </w:rPr>
        <w:t>rd</w:t>
      </w:r>
      <w:r>
        <w:t xml:space="preserve"> Dynasty. The first tombs to be built were </w:t>
      </w:r>
      <w:proofErr w:type="spellStart"/>
      <w:r>
        <w:t>Hetepi</w:t>
      </w:r>
      <w:proofErr w:type="spellEnd"/>
      <w:r>
        <w:t xml:space="preserve"> and </w:t>
      </w:r>
      <w:proofErr w:type="spellStart"/>
      <w:r>
        <w:t>Ity</w:t>
      </w:r>
      <w:proofErr w:type="spellEnd"/>
      <w:r>
        <w:t xml:space="preserve">. The tomb of </w:t>
      </w:r>
      <w:proofErr w:type="spellStart"/>
      <w:r>
        <w:t>Kaaper</w:t>
      </w:r>
      <w:proofErr w:type="spellEnd"/>
      <w:r>
        <w:t xml:space="preserve"> was built at the beginning of the 5</w:t>
      </w:r>
      <w:r w:rsidRPr="00072978">
        <w:rPr>
          <w:vertAlign w:val="superscript"/>
        </w:rPr>
        <w:t>th</w:t>
      </w:r>
      <w:r>
        <w:t xml:space="preserve"> Dynasty, while the complex of Vizier </w:t>
      </w:r>
      <w:proofErr w:type="spellStart"/>
      <w:r>
        <w:t>Qar</w:t>
      </w:r>
      <w:proofErr w:type="spellEnd"/>
      <w:r>
        <w:t xml:space="preserve"> and his family dates to the 6</w:t>
      </w:r>
      <w:r w:rsidRPr="00072978">
        <w:rPr>
          <w:vertAlign w:val="superscript"/>
        </w:rPr>
        <w:t>th</w:t>
      </w:r>
      <w:r>
        <w:t xml:space="preserve"> Dynasty</w:t>
      </w:r>
      <w:r w:rsidR="002C76C5">
        <w:t>. It was suggested that the hiatus between the beginning of the 5</w:t>
      </w:r>
      <w:r w:rsidR="002C76C5" w:rsidRPr="002C76C5">
        <w:rPr>
          <w:vertAlign w:val="superscript"/>
        </w:rPr>
        <w:t>th</w:t>
      </w:r>
      <w:r w:rsidR="002C76C5">
        <w:t xml:space="preserve"> Dynasty and the mid-6</w:t>
      </w:r>
      <w:r w:rsidR="002C76C5" w:rsidRPr="002C76C5">
        <w:rPr>
          <w:vertAlign w:val="superscript"/>
        </w:rPr>
        <w:t>th</w:t>
      </w:r>
      <w:r w:rsidR="002C76C5">
        <w:t xml:space="preserve"> Dynasty might be filled with geophysical survey data that located tombs to the southeast of </w:t>
      </w:r>
      <w:proofErr w:type="spellStart"/>
      <w:r w:rsidR="002C76C5">
        <w:t>Qar’s</w:t>
      </w:r>
      <w:proofErr w:type="spellEnd"/>
      <w:r w:rsidR="002C76C5">
        <w:t xml:space="preserve"> tomb</w:t>
      </w:r>
      <w:r>
        <w:t xml:space="preserve"> (</w:t>
      </w:r>
      <w:proofErr w:type="spellStart"/>
      <w:r>
        <w:t>Barta</w:t>
      </w:r>
      <w:proofErr w:type="spellEnd"/>
      <w:r>
        <w:t xml:space="preserve"> et al 2003: 22). </w:t>
      </w:r>
      <w:r w:rsidR="002C76C5">
        <w:t xml:space="preserve">However, this claim still waits for ground </w:t>
      </w:r>
      <w:proofErr w:type="spellStart"/>
      <w:r w:rsidR="002C76C5">
        <w:t>truthing</w:t>
      </w:r>
      <w:proofErr w:type="spellEnd"/>
      <w:r w:rsidR="002C76C5">
        <w:t>.</w:t>
      </w:r>
    </w:p>
    <w:p w:rsidR="00064AC8" w:rsidRPr="002C76C5" w:rsidRDefault="00072978" w:rsidP="00C721D6">
      <w:r>
        <w:t>Locating the</w:t>
      </w:r>
      <w:r w:rsidR="002C76C5">
        <w:t xml:space="preserve"> visible</w:t>
      </w:r>
      <w:r>
        <w:t xml:space="preserve"> monuments in </w:t>
      </w:r>
      <w:r>
        <w:fldChar w:fldCharType="begin"/>
      </w:r>
      <w:r>
        <w:instrText xml:space="preserve"> REF _Ref289938078 \h </w:instrText>
      </w:r>
      <w:r w:rsidR="002C76C5">
        <w:instrText xml:space="preserve"> \* MERGEFORMAT </w:instrText>
      </w:r>
      <w:r>
        <w:fldChar w:fldCharType="separate"/>
      </w:r>
      <w:r>
        <w:t xml:space="preserve">Figure </w:t>
      </w:r>
      <w:r>
        <w:rPr>
          <w:noProof/>
        </w:rPr>
        <w:t>2</w:t>
      </w:r>
      <w:r>
        <w:fldChar w:fldCharType="end"/>
      </w:r>
      <w:r>
        <w:t xml:space="preserve">, it is possible to see they followed a certain orientation from east to west. </w:t>
      </w:r>
      <w:proofErr w:type="spellStart"/>
      <w:r>
        <w:t>Barta</w:t>
      </w:r>
      <w:proofErr w:type="spellEnd"/>
      <w:r>
        <w:t xml:space="preserve"> et al (2003: 22) </w:t>
      </w:r>
      <w:r w:rsidR="002C76C5">
        <w:t>suggested that this was the line of the main access route of the area. They think, “</w:t>
      </w:r>
      <w:proofErr w:type="gramStart"/>
      <w:r w:rsidR="002C76C5" w:rsidRPr="002C76C5">
        <w:t>i</w:t>
      </w:r>
      <w:r w:rsidR="00064AC8" w:rsidRPr="002C76C5">
        <w:t>n</w:t>
      </w:r>
      <w:proofErr w:type="gramEnd"/>
      <w:r w:rsidR="00064AC8" w:rsidRPr="002C76C5">
        <w:t xml:space="preserve"> several cases, it is apparent that some main access routes branch out in places where there is convenient access to the different parts of the cemetery, </w:t>
      </w:r>
      <w:r w:rsidR="00064AC8" w:rsidRPr="002C76C5">
        <w:lastRenderedPageBreak/>
        <w:t>which are always dominated by one of the principal tombs (</w:t>
      </w:r>
      <w:proofErr w:type="spellStart"/>
      <w:r w:rsidR="00064AC8" w:rsidRPr="002C76C5">
        <w:t>Mastaba</w:t>
      </w:r>
      <w:proofErr w:type="spellEnd"/>
      <w:r w:rsidR="00064AC8" w:rsidRPr="002C76C5">
        <w:t xml:space="preserve"> MM, </w:t>
      </w:r>
      <w:proofErr w:type="spellStart"/>
      <w:r w:rsidR="00064AC8" w:rsidRPr="002C76C5">
        <w:t>Hetepi</w:t>
      </w:r>
      <w:proofErr w:type="spellEnd"/>
      <w:r w:rsidR="00064AC8" w:rsidRPr="002C76C5">
        <w:t xml:space="preserve">, </w:t>
      </w:r>
      <w:proofErr w:type="spellStart"/>
      <w:r w:rsidR="00064AC8" w:rsidRPr="002C76C5">
        <w:t>Ity</w:t>
      </w:r>
      <w:proofErr w:type="spellEnd"/>
      <w:r w:rsidR="00064AC8" w:rsidRPr="002C76C5">
        <w:t xml:space="preserve">, </w:t>
      </w:r>
      <w:proofErr w:type="spellStart"/>
      <w:r w:rsidR="00064AC8" w:rsidRPr="002C76C5">
        <w:t>Mastaba</w:t>
      </w:r>
      <w:proofErr w:type="spellEnd"/>
      <w:r w:rsidR="00064AC8" w:rsidRPr="002C76C5">
        <w:t xml:space="preserve"> KK, </w:t>
      </w:r>
      <w:proofErr w:type="spellStart"/>
      <w:r w:rsidR="00064AC8" w:rsidRPr="002C76C5">
        <w:t>Kaaper</w:t>
      </w:r>
      <w:proofErr w:type="spellEnd"/>
      <w:r w:rsidR="00064AC8" w:rsidRPr="002C76C5">
        <w:t xml:space="preserve">, </w:t>
      </w:r>
      <w:proofErr w:type="spellStart"/>
      <w:r w:rsidR="00064AC8" w:rsidRPr="002C76C5">
        <w:t>Qar</w:t>
      </w:r>
      <w:proofErr w:type="spellEnd"/>
      <w:r w:rsidR="00064AC8" w:rsidRPr="002C76C5">
        <w:t xml:space="preserve">). These routes are always laid out so as to come from the southwestern side of the </w:t>
      </w:r>
      <w:proofErr w:type="spellStart"/>
      <w:r w:rsidR="00064AC8" w:rsidRPr="002C76C5">
        <w:t>Abusir</w:t>
      </w:r>
      <w:proofErr w:type="spellEnd"/>
      <w:r w:rsidR="00064AC8" w:rsidRPr="002C76C5">
        <w:t xml:space="preserve"> Lake towards the cemet</w:t>
      </w:r>
      <w:r w:rsidR="002C76C5" w:rsidRPr="002C76C5">
        <w:t>ery, i.e. towards the southwest”</w:t>
      </w:r>
      <w:r w:rsidR="00064AC8" w:rsidRPr="002C76C5">
        <w:t xml:space="preserve"> (</w:t>
      </w:r>
      <w:proofErr w:type="spellStart"/>
      <w:r w:rsidR="00064AC8" w:rsidRPr="002C76C5">
        <w:t>Barta</w:t>
      </w:r>
      <w:proofErr w:type="spellEnd"/>
      <w:r w:rsidR="00064AC8" w:rsidRPr="002C76C5">
        <w:t xml:space="preserve"> et al 2003: 26)</w:t>
      </w:r>
      <w:r w:rsidR="002C76C5" w:rsidRPr="002C76C5">
        <w:t>.</w:t>
      </w:r>
      <w:r w:rsidR="002C76C5">
        <w:t xml:space="preserve"> This claim situates </w:t>
      </w:r>
      <w:proofErr w:type="spellStart"/>
      <w:r w:rsidR="002C76C5">
        <w:t>Abusir</w:t>
      </w:r>
      <w:proofErr w:type="spellEnd"/>
      <w:r w:rsidR="002C76C5">
        <w:t xml:space="preserve"> South tombs as landmarks in addition to their burial function, and adds one more layer to their meaning.</w:t>
      </w:r>
    </w:p>
    <w:p w:rsidR="003931EC" w:rsidRPr="00C721D6" w:rsidRDefault="003931EC" w:rsidP="00C721D6">
      <w:pPr>
        <w:rPr>
          <w:b/>
        </w:rPr>
      </w:pPr>
      <w:r w:rsidRPr="00C721D6">
        <w:rPr>
          <w:b/>
        </w:rPr>
        <w:t xml:space="preserve">Tomb </w:t>
      </w:r>
      <w:r w:rsidR="00EE01A7" w:rsidRPr="00C721D6">
        <w:rPr>
          <w:b/>
        </w:rPr>
        <w:t xml:space="preserve">Complex </w:t>
      </w:r>
      <w:r w:rsidRPr="00C721D6">
        <w:rPr>
          <w:b/>
        </w:rPr>
        <w:t xml:space="preserve">of </w:t>
      </w:r>
      <w:proofErr w:type="spellStart"/>
      <w:r w:rsidRPr="00C721D6">
        <w:rPr>
          <w:b/>
        </w:rPr>
        <w:t>Qar</w:t>
      </w:r>
      <w:proofErr w:type="spellEnd"/>
      <w:r w:rsidR="00A83F92" w:rsidRPr="00C721D6">
        <w:rPr>
          <w:b/>
        </w:rPr>
        <w:t xml:space="preserve"> – Architectural Configuration</w:t>
      </w:r>
      <w:r w:rsidRPr="00C721D6">
        <w:rPr>
          <w:b/>
        </w:rPr>
        <w:t>:</w:t>
      </w:r>
    </w:p>
    <w:p w:rsidR="00A23D1D" w:rsidRDefault="00A23D1D" w:rsidP="00C721D6">
      <w:r>
        <w:t xml:space="preserve">As stated above, the Tomb Complex </w:t>
      </w:r>
      <w:r w:rsidR="002C76C5">
        <w:t xml:space="preserve">of </w:t>
      </w:r>
      <w:proofErr w:type="spellStart"/>
      <w:r w:rsidR="002C76C5">
        <w:t>Qar</w:t>
      </w:r>
      <w:proofErr w:type="spellEnd"/>
      <w:r w:rsidR="002C76C5">
        <w:t xml:space="preserve"> dates</w:t>
      </w:r>
      <w:r>
        <w:t xml:space="preserve"> to the 6</w:t>
      </w:r>
      <w:r w:rsidRPr="00A23D1D">
        <w:rPr>
          <w:vertAlign w:val="superscript"/>
        </w:rPr>
        <w:t>th</w:t>
      </w:r>
      <w:r>
        <w:t xml:space="preserve"> Dynasty. The complex hosts two burial chambers for </w:t>
      </w:r>
      <w:proofErr w:type="spellStart"/>
      <w:r>
        <w:t>Qar</w:t>
      </w:r>
      <w:proofErr w:type="spellEnd"/>
      <w:r>
        <w:t xml:space="preserve"> himself, three minor chapels for his sons </w:t>
      </w:r>
      <w:proofErr w:type="spellStart"/>
      <w:r>
        <w:t>Qar</w:t>
      </w:r>
      <w:proofErr w:type="spellEnd"/>
      <w:r>
        <w:t xml:space="preserve"> Junior, </w:t>
      </w:r>
      <w:proofErr w:type="spellStart"/>
      <w:r>
        <w:t>Senedjemib</w:t>
      </w:r>
      <w:proofErr w:type="spellEnd"/>
      <w:r>
        <w:t xml:space="preserve"> and </w:t>
      </w:r>
      <w:proofErr w:type="spellStart"/>
      <w:r>
        <w:t>Tjenty</w:t>
      </w:r>
      <w:proofErr w:type="spellEnd"/>
      <w:r>
        <w:t xml:space="preserve">, and a neighboring separate tomb for his son </w:t>
      </w:r>
      <w:proofErr w:type="spellStart"/>
      <w:r>
        <w:t>Inty</w:t>
      </w:r>
      <w:proofErr w:type="spellEnd"/>
      <w:r>
        <w:t xml:space="preserve">; all of whom are represented and labeled on the reliefs of the chapel of </w:t>
      </w:r>
      <w:proofErr w:type="spellStart"/>
      <w:r>
        <w:t>Qar</w:t>
      </w:r>
      <w:proofErr w:type="spellEnd"/>
      <w:r>
        <w:t xml:space="preserve"> (</w:t>
      </w:r>
      <w:r>
        <w:fldChar w:fldCharType="begin"/>
      </w:r>
      <w:r>
        <w:instrText xml:space="preserve"> REF _Ref289968811 \h </w:instrText>
      </w:r>
      <w:r w:rsidR="00C721D6">
        <w:instrText xml:space="preserve"> \* MERGEFORMAT </w:instrText>
      </w:r>
      <w:r>
        <w:fldChar w:fldCharType="separate"/>
      </w:r>
      <w:r>
        <w:t xml:space="preserve">Figure </w:t>
      </w:r>
      <w:r>
        <w:rPr>
          <w:noProof/>
        </w:rPr>
        <w:t>3</w:t>
      </w:r>
      <w:r>
        <w:fldChar w:fldCharType="end"/>
      </w:r>
      <w:r>
        <w:t>) (</w:t>
      </w:r>
      <w:proofErr w:type="spellStart"/>
      <w:r>
        <w:t>Barta</w:t>
      </w:r>
      <w:proofErr w:type="spellEnd"/>
      <w:r>
        <w:t xml:space="preserve"> 2006: 49).</w:t>
      </w:r>
    </w:p>
    <w:p w:rsidR="00A83F92" w:rsidRDefault="00A83F92" w:rsidP="00C721D6">
      <w:r>
        <w:t>The tomb complex has a complex architectural configuration (</w:t>
      </w:r>
      <w:r>
        <w:fldChar w:fldCharType="begin"/>
      </w:r>
      <w:r>
        <w:instrText xml:space="preserve"> REF _Ref289971205 \h </w:instrText>
      </w:r>
      <w:r w:rsidR="00C721D6">
        <w:instrText xml:space="preserve"> \* MERGEFORMAT </w:instrText>
      </w:r>
      <w:r>
        <w:fldChar w:fldCharType="separate"/>
      </w:r>
      <w:r>
        <w:t xml:space="preserve">Figure </w:t>
      </w:r>
      <w:r>
        <w:rPr>
          <w:noProof/>
        </w:rPr>
        <w:t>4</w:t>
      </w:r>
      <w:r>
        <w:fldChar w:fldCharType="end"/>
      </w:r>
      <w:r>
        <w:t xml:space="preserve">). </w:t>
      </w:r>
      <w:r w:rsidR="003B1578">
        <w:t xml:space="preserve">The open court on the north is a dominant feature of the plan, and this space provides access to the long corridor of the cult niches for the minor burials, the subsidiary chapels of </w:t>
      </w:r>
      <w:proofErr w:type="spellStart"/>
      <w:r w:rsidR="003B1578">
        <w:t>Qar</w:t>
      </w:r>
      <w:proofErr w:type="spellEnd"/>
      <w:r w:rsidR="003B1578">
        <w:t xml:space="preserve"> Junior, </w:t>
      </w:r>
      <w:proofErr w:type="spellStart"/>
      <w:r w:rsidR="003B1578">
        <w:t>Senedjemib</w:t>
      </w:r>
      <w:proofErr w:type="spellEnd"/>
      <w:r w:rsidR="003B1578">
        <w:t xml:space="preserve"> and </w:t>
      </w:r>
      <w:proofErr w:type="spellStart"/>
      <w:r w:rsidR="003B1578">
        <w:t>Tjenty</w:t>
      </w:r>
      <w:proofErr w:type="spellEnd"/>
      <w:r w:rsidR="003B1578">
        <w:t xml:space="preserve"> as well as the two burial chambers of </w:t>
      </w:r>
      <w:proofErr w:type="spellStart"/>
      <w:r w:rsidR="003B1578">
        <w:t>Qar</w:t>
      </w:r>
      <w:proofErr w:type="spellEnd"/>
      <w:r w:rsidR="003B1578">
        <w:t xml:space="preserve"> himself. </w:t>
      </w:r>
    </w:p>
    <w:p w:rsidR="006F2CAE" w:rsidRDefault="003904CD" w:rsidP="00C721D6">
      <w:proofErr w:type="spellStart"/>
      <w:r>
        <w:t>Barta</w:t>
      </w:r>
      <w:proofErr w:type="spellEnd"/>
      <w:r>
        <w:t xml:space="preserve"> (</w:t>
      </w:r>
      <w:r w:rsidRPr="003370DD">
        <w:t>2006: 47</w:t>
      </w:r>
      <w:r>
        <w:t xml:space="preserve">) situates this plan as </w:t>
      </w:r>
      <w:r w:rsidR="002C76C5" w:rsidRPr="003370DD">
        <w:t xml:space="preserve">the outcome of a tradition dating to the beginning of the </w:t>
      </w:r>
      <w:r w:rsidR="000D23E8">
        <w:t>6</w:t>
      </w:r>
      <w:r w:rsidR="000D23E8" w:rsidRPr="000D23E8">
        <w:rPr>
          <w:vertAlign w:val="superscript"/>
        </w:rPr>
        <w:t>th</w:t>
      </w:r>
      <w:r w:rsidR="000D23E8">
        <w:t xml:space="preserve"> </w:t>
      </w:r>
      <w:r w:rsidR="002C76C5" w:rsidRPr="003370DD">
        <w:t>Dynasty, when families of high officials began to dominate most of the central administration. These families constructed large family tombs with a specific typology, including “east-west oriented cult chapels, large cultic courtyards, store rooms and elaborate burial</w:t>
      </w:r>
      <w:r>
        <w:t xml:space="preserve"> chambers, sometimes decorated”. However, it is possible to find parallels pred</w:t>
      </w:r>
      <w:r w:rsidR="00493768">
        <w:t xml:space="preserve">ating the Tomb Complex of </w:t>
      </w:r>
      <w:proofErr w:type="spellStart"/>
      <w:r w:rsidR="00493768">
        <w:t>Qar</w:t>
      </w:r>
      <w:proofErr w:type="spellEnd"/>
      <w:r w:rsidR="00493768">
        <w:t xml:space="preserve">. </w:t>
      </w:r>
      <w:r w:rsidR="006F2CAE">
        <w:t>One example is t</w:t>
      </w:r>
      <w:r w:rsidR="00493768">
        <w:t xml:space="preserve">he </w:t>
      </w:r>
      <w:proofErr w:type="spellStart"/>
      <w:r w:rsidR="00493768">
        <w:t>mastaba</w:t>
      </w:r>
      <w:proofErr w:type="spellEnd"/>
      <w:r w:rsidR="00493768">
        <w:t xml:space="preserve"> of </w:t>
      </w:r>
      <w:proofErr w:type="spellStart"/>
      <w:r w:rsidR="00493768">
        <w:t>Ptahshepses</w:t>
      </w:r>
      <w:proofErr w:type="spellEnd"/>
      <w:r w:rsidR="00493768">
        <w:t xml:space="preserve">, a vizier of </w:t>
      </w:r>
      <w:proofErr w:type="spellStart"/>
      <w:r w:rsidR="00493768">
        <w:t>Niuserre</w:t>
      </w:r>
      <w:proofErr w:type="spellEnd"/>
      <w:r w:rsidR="000D23E8">
        <w:t xml:space="preserve">, in </w:t>
      </w:r>
      <w:proofErr w:type="spellStart"/>
      <w:r w:rsidR="000D23E8">
        <w:t>Abusir</w:t>
      </w:r>
      <w:proofErr w:type="spellEnd"/>
      <w:r w:rsidR="000D23E8">
        <w:t xml:space="preserve"> dates to the 5</w:t>
      </w:r>
      <w:r w:rsidR="000D23E8" w:rsidRPr="000D23E8">
        <w:rPr>
          <w:vertAlign w:val="superscript"/>
        </w:rPr>
        <w:t>th</w:t>
      </w:r>
      <w:r w:rsidR="000D23E8">
        <w:t xml:space="preserve"> Dynasty and reflects many of the same architectural ideas of the </w:t>
      </w:r>
      <w:proofErr w:type="spellStart"/>
      <w:r w:rsidR="000D23E8">
        <w:t>Qar</w:t>
      </w:r>
      <w:proofErr w:type="spellEnd"/>
      <w:r w:rsidR="000D23E8">
        <w:t xml:space="preserve"> tombs such as an open court acting as the entrance of both the cult niches and the burial chambers (</w:t>
      </w:r>
      <w:r w:rsidR="000D23E8">
        <w:fldChar w:fldCharType="begin"/>
      </w:r>
      <w:r w:rsidR="000D23E8">
        <w:instrText xml:space="preserve"> REF _Ref289977101 \h </w:instrText>
      </w:r>
      <w:r w:rsidR="00C721D6">
        <w:instrText xml:space="preserve"> \* MERGEFORMAT </w:instrText>
      </w:r>
      <w:r w:rsidR="000D23E8">
        <w:fldChar w:fldCharType="separate"/>
      </w:r>
      <w:r w:rsidR="000D23E8">
        <w:t xml:space="preserve">Figure </w:t>
      </w:r>
      <w:r w:rsidR="000D23E8">
        <w:rPr>
          <w:noProof/>
        </w:rPr>
        <w:t>5</w:t>
      </w:r>
      <w:r w:rsidR="000D23E8">
        <w:fldChar w:fldCharType="end"/>
      </w:r>
      <w:r w:rsidR="000D23E8">
        <w:t>).</w:t>
      </w:r>
    </w:p>
    <w:p w:rsidR="002C76C5" w:rsidRDefault="006F2CAE" w:rsidP="00C721D6">
      <w:r>
        <w:t>The tomb complex hosts two burial chambers</w:t>
      </w:r>
      <w:r w:rsidR="0034344F">
        <w:t xml:space="preserve"> located on the extension of the same corridor</w:t>
      </w:r>
      <w:r>
        <w:t xml:space="preserve"> (</w:t>
      </w:r>
      <w:r w:rsidR="0034344F">
        <w:fldChar w:fldCharType="begin"/>
      </w:r>
      <w:r w:rsidR="0034344F">
        <w:instrText xml:space="preserve"> REF _Ref289977522 \h </w:instrText>
      </w:r>
      <w:r w:rsidR="00C721D6">
        <w:instrText xml:space="preserve"> \* MERGEFORMAT </w:instrText>
      </w:r>
      <w:r w:rsidR="0034344F">
        <w:fldChar w:fldCharType="separate"/>
      </w:r>
      <w:r w:rsidR="0034344F">
        <w:t xml:space="preserve">Figure </w:t>
      </w:r>
      <w:r w:rsidR="0034344F">
        <w:rPr>
          <w:noProof/>
        </w:rPr>
        <w:t>6</w:t>
      </w:r>
      <w:r w:rsidR="0034344F">
        <w:fldChar w:fldCharType="end"/>
      </w:r>
      <w:r>
        <w:t>)</w:t>
      </w:r>
      <w:r w:rsidR="0034344F">
        <w:t xml:space="preserve">. This duality, when evaluated together with the decorative scheme of the chambers, led scholars to conclude that </w:t>
      </w:r>
      <w:proofErr w:type="spellStart"/>
      <w:r w:rsidR="0034344F">
        <w:t>Qar</w:t>
      </w:r>
      <w:proofErr w:type="spellEnd"/>
      <w:r w:rsidR="0034344F">
        <w:t xml:space="preserve"> was a judge, and was promoted to the office of </w:t>
      </w:r>
      <w:proofErr w:type="spellStart"/>
      <w:r w:rsidR="0034344F">
        <w:t>viziership</w:t>
      </w:r>
      <w:proofErr w:type="spellEnd"/>
      <w:r w:rsidR="0034344F">
        <w:t xml:space="preserve"> late in his career. The first chamber is inscribed with the title “the true judge of </w:t>
      </w:r>
      <w:proofErr w:type="spellStart"/>
      <w:r w:rsidR="0034344F">
        <w:t>Nekhen</w:t>
      </w:r>
      <w:proofErr w:type="spellEnd"/>
      <w:r w:rsidR="0034344F">
        <w:t>”, which only appears in this chamber within the complex (</w:t>
      </w:r>
      <w:proofErr w:type="spellStart"/>
      <w:r w:rsidR="0034344F">
        <w:t>Barta</w:t>
      </w:r>
      <w:proofErr w:type="spellEnd"/>
      <w:r w:rsidR="0034344F">
        <w:t xml:space="preserve"> 2006: 49). The larger Chamber II has a more elaborate decorative scheme, which was interpreted as a later addendum to the complex when the first chamber proved to be inadequate upon the promotion of </w:t>
      </w:r>
      <w:proofErr w:type="spellStart"/>
      <w:r w:rsidR="0034344F">
        <w:t>Qar</w:t>
      </w:r>
      <w:proofErr w:type="spellEnd"/>
      <w:r w:rsidR="0034344F">
        <w:t xml:space="preserve"> as the vizier. The difference in </w:t>
      </w:r>
      <w:r w:rsidR="0034344F">
        <w:lastRenderedPageBreak/>
        <w:t>the false doors of these two chambers has been taken as a point proving this hypothesis (</w:t>
      </w:r>
      <w:r w:rsidR="00165E78">
        <w:fldChar w:fldCharType="begin"/>
      </w:r>
      <w:r w:rsidR="00165E78">
        <w:instrText xml:space="preserve"> REF _Ref289978199 \h </w:instrText>
      </w:r>
      <w:r w:rsidR="00C721D6">
        <w:instrText xml:space="preserve"> \* MERGEFORMAT </w:instrText>
      </w:r>
      <w:r w:rsidR="00165E78">
        <w:fldChar w:fldCharType="separate"/>
      </w:r>
      <w:r w:rsidR="00165E78">
        <w:t xml:space="preserve">Figure </w:t>
      </w:r>
      <w:r w:rsidR="00165E78">
        <w:rPr>
          <w:noProof/>
        </w:rPr>
        <w:t>7</w:t>
      </w:r>
      <w:r w:rsidR="00165E78">
        <w:fldChar w:fldCharType="end"/>
      </w:r>
      <w:r w:rsidR="0034344F">
        <w:t>)</w:t>
      </w:r>
      <w:r w:rsidR="00165E78">
        <w:t xml:space="preserve">. Whether this scenario is true or not, the Judge of </w:t>
      </w:r>
      <w:proofErr w:type="spellStart"/>
      <w:r w:rsidR="00165E78">
        <w:t>Nekhen</w:t>
      </w:r>
      <w:proofErr w:type="spellEnd"/>
      <w:r w:rsidR="00165E78">
        <w:t xml:space="preserve"> was a significant title by itself, </w:t>
      </w:r>
      <w:r w:rsidR="00494491">
        <w:t xml:space="preserve">first attested in the Late Old Kingdom. Given to middle-ranking men during the Old Kingdom and the FIP, the Judge of </w:t>
      </w:r>
      <w:proofErr w:type="spellStart"/>
      <w:r w:rsidR="00494491">
        <w:t>Nekhen</w:t>
      </w:r>
      <w:proofErr w:type="spellEnd"/>
      <w:r w:rsidR="00494491">
        <w:t xml:space="preserve"> re-emerged in the New Kingdom as one of the highest </w:t>
      </w:r>
      <w:proofErr w:type="spellStart"/>
      <w:r w:rsidR="00494491">
        <w:t>titulary</w:t>
      </w:r>
      <w:proofErr w:type="spellEnd"/>
      <w:r w:rsidR="00494491">
        <w:t>, given to the viziers of the time (</w:t>
      </w:r>
      <w:proofErr w:type="spellStart"/>
      <w:r w:rsidR="00494491">
        <w:t>Callender</w:t>
      </w:r>
      <w:proofErr w:type="spellEnd"/>
      <w:r w:rsidR="00494491">
        <w:t xml:space="preserve"> 2000: 362-63).</w:t>
      </w:r>
    </w:p>
    <w:p w:rsidR="00DF1451" w:rsidRPr="00C721D6" w:rsidRDefault="00DF1451" w:rsidP="00C721D6">
      <w:pPr>
        <w:rPr>
          <w:b/>
        </w:rPr>
      </w:pPr>
      <w:r w:rsidRPr="00C721D6">
        <w:rPr>
          <w:b/>
        </w:rPr>
        <w:t>Decoration:</w:t>
      </w:r>
    </w:p>
    <w:p w:rsidR="000C1660" w:rsidRDefault="002064AF" w:rsidP="00C721D6">
      <w:r>
        <w:t xml:space="preserve">Chamber II of </w:t>
      </w:r>
      <w:proofErr w:type="spellStart"/>
      <w:r>
        <w:t>Qar</w:t>
      </w:r>
      <w:proofErr w:type="spellEnd"/>
      <w:r>
        <w:t xml:space="preserve"> was fully decorated, as opposed to Chamber I. The reliefs were rather roughly executed, and most probably by a multitude of artists with different skills. The eastern wall of the chamber showed piles of offerings and had butchering scenes on the lower register. </w:t>
      </w:r>
      <w:r w:rsidR="00DF1451">
        <w:t xml:space="preserve">The top registers of the north and south walls showed processions of offering bearers and piles of offerings. The south wall also had scenes of an offering ritual. The western ends of both the north and the south walls had the seated figure of </w:t>
      </w:r>
      <w:proofErr w:type="spellStart"/>
      <w:r w:rsidR="00DF1451">
        <w:t>Qar</w:t>
      </w:r>
      <w:proofErr w:type="spellEnd"/>
      <w:r w:rsidR="00DF1451">
        <w:t xml:space="preserve"> behind the offering table (</w:t>
      </w:r>
      <w:r w:rsidR="00DF1451">
        <w:fldChar w:fldCharType="begin"/>
      </w:r>
      <w:r w:rsidR="00DF1451">
        <w:instrText xml:space="preserve"> REF _Ref289979721 \h </w:instrText>
      </w:r>
      <w:r w:rsidR="00C721D6">
        <w:instrText xml:space="preserve"> \* MERGEFORMAT </w:instrText>
      </w:r>
      <w:r w:rsidR="00DF1451">
        <w:fldChar w:fldCharType="separate"/>
      </w:r>
      <w:r w:rsidR="00DF1451">
        <w:t xml:space="preserve">Figure </w:t>
      </w:r>
      <w:r w:rsidR="00DF1451">
        <w:rPr>
          <w:noProof/>
        </w:rPr>
        <w:t>8</w:t>
      </w:r>
      <w:r w:rsidR="00DF1451">
        <w:fldChar w:fldCharType="end"/>
      </w:r>
      <w:r w:rsidR="00DF1451">
        <w:t>) (</w:t>
      </w:r>
      <w:proofErr w:type="spellStart"/>
      <w:r w:rsidR="00DF1451">
        <w:t>Barta</w:t>
      </w:r>
      <w:proofErr w:type="spellEnd"/>
      <w:r w:rsidR="00DF1451">
        <w:t xml:space="preserve"> 2006: 46-50).</w:t>
      </w:r>
      <w:r w:rsidR="00104C7F">
        <w:t xml:space="preserve"> One unique feature of the decorative scheme is the depiction of the male figures dragging vessels on the western wall of the entrance area in Chamber II (</w:t>
      </w:r>
      <w:r w:rsidR="00F91275">
        <w:fldChar w:fldCharType="begin"/>
      </w:r>
      <w:r w:rsidR="00F91275">
        <w:instrText xml:space="preserve"> REF _Ref289980100 \h </w:instrText>
      </w:r>
      <w:r w:rsidR="00C721D6">
        <w:instrText xml:space="preserve"> \* MERGEFORMAT </w:instrText>
      </w:r>
      <w:r w:rsidR="00F91275">
        <w:fldChar w:fldCharType="separate"/>
      </w:r>
      <w:r w:rsidR="00F91275">
        <w:t xml:space="preserve">Figure </w:t>
      </w:r>
      <w:r w:rsidR="00F91275">
        <w:rPr>
          <w:noProof/>
        </w:rPr>
        <w:t>9</w:t>
      </w:r>
      <w:r w:rsidR="00F91275">
        <w:fldChar w:fldCharType="end"/>
      </w:r>
      <w:r w:rsidR="00104C7F">
        <w:t>) (</w:t>
      </w:r>
      <w:proofErr w:type="spellStart"/>
      <w:r w:rsidR="00104C7F">
        <w:t>Barta</w:t>
      </w:r>
      <w:proofErr w:type="spellEnd"/>
      <w:r w:rsidR="00104C7F">
        <w:t xml:space="preserve"> 2006: 52). </w:t>
      </w:r>
    </w:p>
    <w:p w:rsidR="00F91275" w:rsidRPr="00C721D6" w:rsidRDefault="00F91275" w:rsidP="00C721D6">
      <w:pPr>
        <w:rPr>
          <w:b/>
        </w:rPr>
      </w:pPr>
      <w:r w:rsidRPr="00C721D6">
        <w:rPr>
          <w:b/>
        </w:rPr>
        <w:t>Subsidiary Chapels:</w:t>
      </w:r>
    </w:p>
    <w:p w:rsidR="00F91275" w:rsidRDefault="00F91275" w:rsidP="00C721D6">
      <w:r>
        <w:t>Subsidiary Chapels were located to the northeast of the Open Court in the Tomb Complex (</w:t>
      </w:r>
      <w:r>
        <w:fldChar w:fldCharType="begin"/>
      </w:r>
      <w:r>
        <w:instrText xml:space="preserve"> REF _Ref289971205 \h </w:instrText>
      </w:r>
      <w:r w:rsidR="00C721D6">
        <w:instrText xml:space="preserve"> \* MERGEFORMAT </w:instrText>
      </w:r>
      <w:r>
        <w:fldChar w:fldCharType="separate"/>
      </w:r>
      <w:r>
        <w:t xml:space="preserve">Figure </w:t>
      </w:r>
      <w:r>
        <w:rPr>
          <w:noProof/>
        </w:rPr>
        <w:t>4</w:t>
      </w:r>
      <w:r>
        <w:fldChar w:fldCharType="end"/>
      </w:r>
      <w:r>
        <w:t xml:space="preserve">). These were mainly dedicated to the three sons of </w:t>
      </w:r>
      <w:proofErr w:type="spellStart"/>
      <w:r>
        <w:t>Qar</w:t>
      </w:r>
      <w:proofErr w:type="spellEnd"/>
      <w:r>
        <w:t xml:space="preserve">, </w:t>
      </w:r>
      <w:r w:rsidR="00656EB6">
        <w:t xml:space="preserve">namely </w:t>
      </w:r>
      <w:proofErr w:type="spellStart"/>
      <w:r w:rsidR="00656EB6">
        <w:t>Qar</w:t>
      </w:r>
      <w:proofErr w:type="spellEnd"/>
      <w:r w:rsidR="00656EB6">
        <w:t xml:space="preserve"> Junior, </w:t>
      </w:r>
      <w:proofErr w:type="spellStart"/>
      <w:r w:rsidR="00656EB6">
        <w:t>Senedjemib</w:t>
      </w:r>
      <w:proofErr w:type="spellEnd"/>
      <w:r w:rsidR="00656EB6">
        <w:t xml:space="preserve"> and </w:t>
      </w:r>
      <w:proofErr w:type="spellStart"/>
      <w:r w:rsidR="00656EB6">
        <w:t>Tjenty</w:t>
      </w:r>
      <w:proofErr w:type="spellEnd"/>
      <w:r w:rsidR="00656EB6">
        <w:t xml:space="preserve">. They yielded a wealth of finds, as exemplified in </w:t>
      </w:r>
      <w:r w:rsidR="00656EB6">
        <w:fldChar w:fldCharType="begin"/>
      </w:r>
      <w:r w:rsidR="00656EB6">
        <w:instrText xml:space="preserve"> REF _Ref289980369 \h </w:instrText>
      </w:r>
      <w:r w:rsidR="00C721D6">
        <w:instrText xml:space="preserve"> \* MERGEFORMAT </w:instrText>
      </w:r>
      <w:r w:rsidR="00656EB6">
        <w:fldChar w:fldCharType="separate"/>
      </w:r>
      <w:r w:rsidR="00656EB6">
        <w:t xml:space="preserve">Figure </w:t>
      </w:r>
      <w:r w:rsidR="00656EB6">
        <w:rPr>
          <w:noProof/>
        </w:rPr>
        <w:t>10</w:t>
      </w:r>
      <w:r w:rsidR="00656EB6">
        <w:fldChar w:fldCharType="end"/>
      </w:r>
      <w:r w:rsidR="00656EB6">
        <w:t xml:space="preserve"> and </w:t>
      </w:r>
      <w:r w:rsidR="00656EB6">
        <w:fldChar w:fldCharType="begin"/>
      </w:r>
      <w:r w:rsidR="00656EB6">
        <w:instrText xml:space="preserve"> REF _Ref289980371 \h </w:instrText>
      </w:r>
      <w:r w:rsidR="00C721D6">
        <w:instrText xml:space="preserve"> \* MERGEFORMAT </w:instrText>
      </w:r>
      <w:r w:rsidR="00656EB6">
        <w:fldChar w:fldCharType="separate"/>
      </w:r>
      <w:r w:rsidR="00656EB6">
        <w:t xml:space="preserve">Figure </w:t>
      </w:r>
      <w:r w:rsidR="00656EB6">
        <w:rPr>
          <w:noProof/>
        </w:rPr>
        <w:t>11</w:t>
      </w:r>
      <w:r w:rsidR="00656EB6">
        <w:fldChar w:fldCharType="end"/>
      </w:r>
      <w:r w:rsidR="00656EB6">
        <w:t>.</w:t>
      </w:r>
    </w:p>
    <w:p w:rsidR="00656EB6" w:rsidRPr="00C721D6" w:rsidRDefault="00656EB6" w:rsidP="00C721D6">
      <w:pPr>
        <w:rPr>
          <w:b/>
        </w:rPr>
      </w:pPr>
      <w:r w:rsidRPr="00C721D6">
        <w:rPr>
          <w:b/>
        </w:rPr>
        <w:t xml:space="preserve">Tomb of </w:t>
      </w:r>
      <w:proofErr w:type="spellStart"/>
      <w:r w:rsidRPr="00C721D6">
        <w:rPr>
          <w:b/>
        </w:rPr>
        <w:t>Inty</w:t>
      </w:r>
      <w:proofErr w:type="spellEnd"/>
      <w:r w:rsidRPr="00C721D6">
        <w:rPr>
          <w:b/>
        </w:rPr>
        <w:t>:</w:t>
      </w:r>
    </w:p>
    <w:p w:rsidR="00656EB6" w:rsidRDefault="00656EB6" w:rsidP="00C721D6">
      <w:r>
        <w:t xml:space="preserve">The other son of </w:t>
      </w:r>
      <w:proofErr w:type="spellStart"/>
      <w:r>
        <w:t>Qar</w:t>
      </w:r>
      <w:proofErr w:type="spellEnd"/>
      <w:r>
        <w:t xml:space="preserve"> had a separate tomb adjacent to his father </w:t>
      </w:r>
      <w:r w:rsidR="0007210D">
        <w:t>(</w:t>
      </w:r>
      <w:r w:rsidR="0007210D">
        <w:fldChar w:fldCharType="begin"/>
      </w:r>
      <w:r w:rsidR="0007210D">
        <w:instrText xml:space="preserve"> REF _Ref289980648 \h </w:instrText>
      </w:r>
      <w:r w:rsidR="00C721D6">
        <w:instrText xml:space="preserve"> \* MERGEFORMAT </w:instrText>
      </w:r>
      <w:r w:rsidR="0007210D">
        <w:fldChar w:fldCharType="separate"/>
      </w:r>
      <w:r w:rsidR="0007210D">
        <w:t xml:space="preserve">Figure </w:t>
      </w:r>
      <w:r w:rsidR="0007210D">
        <w:rPr>
          <w:noProof/>
        </w:rPr>
        <w:t>12</w:t>
      </w:r>
      <w:r w:rsidR="0007210D">
        <w:fldChar w:fldCharType="end"/>
      </w:r>
      <w:r w:rsidR="0007210D">
        <w:t>).</w:t>
      </w:r>
      <w:r w:rsidR="00D8285A">
        <w:t xml:space="preserve"> The architecture and the decorative scheme </w:t>
      </w:r>
      <w:proofErr w:type="gramStart"/>
      <w:r w:rsidR="00D8285A">
        <w:t>is</w:t>
      </w:r>
      <w:proofErr w:type="gramEnd"/>
      <w:r w:rsidR="00D8285A">
        <w:t xml:space="preserve"> clearly related to the tomb of </w:t>
      </w:r>
      <w:proofErr w:type="spellStart"/>
      <w:r w:rsidR="00D8285A">
        <w:t>Qar</w:t>
      </w:r>
      <w:proofErr w:type="spellEnd"/>
      <w:r w:rsidR="00D8285A">
        <w:t xml:space="preserve">, and these two structures must be built almost simultaneously. </w:t>
      </w:r>
      <w:r w:rsidR="0089557C">
        <w:t xml:space="preserve">The low relief decoration of the tomb of </w:t>
      </w:r>
      <w:proofErr w:type="spellStart"/>
      <w:r w:rsidR="0089557C">
        <w:t>Inty</w:t>
      </w:r>
      <w:proofErr w:type="spellEnd"/>
      <w:r w:rsidR="0089557C">
        <w:t xml:space="preserve">, however, is rendered in a more skilled fashion than the workmanship of the tomb of </w:t>
      </w:r>
      <w:proofErr w:type="spellStart"/>
      <w:r w:rsidR="0089557C">
        <w:t>Qar</w:t>
      </w:r>
      <w:proofErr w:type="spellEnd"/>
      <w:r w:rsidR="0089557C">
        <w:t xml:space="preserve"> (</w:t>
      </w:r>
      <w:r w:rsidR="0089557C">
        <w:fldChar w:fldCharType="begin"/>
      </w:r>
      <w:r w:rsidR="0089557C">
        <w:instrText xml:space="preserve"> REF _Ref289980882 \h </w:instrText>
      </w:r>
      <w:r w:rsidR="00C721D6">
        <w:instrText xml:space="preserve"> \* MERGEFORMAT </w:instrText>
      </w:r>
      <w:r w:rsidR="0089557C">
        <w:fldChar w:fldCharType="separate"/>
      </w:r>
      <w:r w:rsidR="0089557C">
        <w:t xml:space="preserve">Figure </w:t>
      </w:r>
      <w:r w:rsidR="0089557C">
        <w:rPr>
          <w:noProof/>
        </w:rPr>
        <w:t>13</w:t>
      </w:r>
      <w:r w:rsidR="0089557C">
        <w:fldChar w:fldCharType="end"/>
      </w:r>
      <w:r w:rsidR="0089557C">
        <w:t xml:space="preserve">, </w:t>
      </w:r>
      <w:r w:rsidR="0089557C">
        <w:fldChar w:fldCharType="begin"/>
      </w:r>
      <w:r w:rsidR="0089557C">
        <w:instrText xml:space="preserve"> REF _Ref289980884 \h </w:instrText>
      </w:r>
      <w:r w:rsidR="00C721D6">
        <w:instrText xml:space="preserve"> \* MERGEFORMAT </w:instrText>
      </w:r>
      <w:r w:rsidR="0089557C">
        <w:fldChar w:fldCharType="separate"/>
      </w:r>
      <w:r w:rsidR="0089557C">
        <w:t xml:space="preserve">Figure </w:t>
      </w:r>
      <w:r w:rsidR="0089557C">
        <w:rPr>
          <w:noProof/>
        </w:rPr>
        <w:t>14</w:t>
      </w:r>
      <w:r w:rsidR="0089557C">
        <w:fldChar w:fldCharType="end"/>
      </w:r>
      <w:r w:rsidR="0089557C">
        <w:t xml:space="preserve">, </w:t>
      </w:r>
      <w:r w:rsidR="0089557C">
        <w:fldChar w:fldCharType="begin"/>
      </w:r>
      <w:r w:rsidR="0089557C">
        <w:instrText xml:space="preserve"> REF _Ref289980885 \h </w:instrText>
      </w:r>
      <w:r w:rsidR="00C721D6">
        <w:instrText xml:space="preserve"> \* MERGEFORMAT </w:instrText>
      </w:r>
      <w:r w:rsidR="0089557C">
        <w:fldChar w:fldCharType="separate"/>
      </w:r>
      <w:proofErr w:type="gramStart"/>
      <w:r w:rsidR="0089557C">
        <w:t>Figure</w:t>
      </w:r>
      <w:proofErr w:type="gramEnd"/>
      <w:r w:rsidR="0089557C">
        <w:t xml:space="preserve"> </w:t>
      </w:r>
      <w:r w:rsidR="0089557C">
        <w:rPr>
          <w:noProof/>
        </w:rPr>
        <w:t>15</w:t>
      </w:r>
      <w:r w:rsidR="0089557C">
        <w:fldChar w:fldCharType="end"/>
      </w:r>
      <w:r w:rsidR="0089557C">
        <w:t>).</w:t>
      </w:r>
    </w:p>
    <w:p w:rsidR="00BC5A80" w:rsidRDefault="00BC5A80" w:rsidP="002C76C5">
      <w:pPr>
        <w:rPr>
          <w:rFonts w:ascii="Arial" w:hAnsi="Arial" w:cs="Arial"/>
          <w:sz w:val="20"/>
          <w:szCs w:val="20"/>
        </w:rPr>
      </w:pPr>
    </w:p>
    <w:p w:rsidR="00BC5A80" w:rsidRDefault="00BC5A80" w:rsidP="002C76C5">
      <w:pPr>
        <w:rPr>
          <w:rFonts w:ascii="Arial" w:hAnsi="Arial" w:cs="Arial"/>
          <w:sz w:val="20"/>
          <w:szCs w:val="20"/>
        </w:rPr>
      </w:pPr>
    </w:p>
    <w:p w:rsidR="00BC5A80" w:rsidRDefault="00BC5A80" w:rsidP="002C76C5">
      <w:pPr>
        <w:rPr>
          <w:rFonts w:ascii="Arial" w:hAnsi="Arial" w:cs="Arial"/>
          <w:sz w:val="20"/>
          <w:szCs w:val="20"/>
        </w:rPr>
      </w:pPr>
    </w:p>
    <w:p w:rsidR="00BC5A80" w:rsidRPr="00BC5A80" w:rsidRDefault="00BC5A80" w:rsidP="002C76C5">
      <w:pPr>
        <w:rPr>
          <w:rFonts w:ascii="Arial" w:hAnsi="Arial" w:cs="Arial"/>
          <w:b/>
          <w:sz w:val="20"/>
          <w:szCs w:val="20"/>
        </w:rPr>
      </w:pPr>
      <w:r w:rsidRPr="00BC5A80">
        <w:rPr>
          <w:rFonts w:ascii="Arial" w:hAnsi="Arial" w:cs="Arial"/>
          <w:b/>
          <w:sz w:val="20"/>
          <w:szCs w:val="20"/>
        </w:rPr>
        <w:lastRenderedPageBreak/>
        <w:t>Figures</w:t>
      </w:r>
    </w:p>
    <w:p w:rsidR="003931EC" w:rsidRPr="003370DD" w:rsidRDefault="003931EC">
      <w:pPr>
        <w:rPr>
          <w:rFonts w:ascii="Arial" w:hAnsi="Arial" w:cs="Arial"/>
          <w:sz w:val="20"/>
          <w:szCs w:val="20"/>
        </w:rPr>
      </w:pPr>
    </w:p>
    <w:p w:rsidR="000E004D" w:rsidRPr="003370DD" w:rsidRDefault="000E004D">
      <w:pPr>
        <w:rPr>
          <w:rFonts w:ascii="Arial" w:hAnsi="Arial" w:cs="Arial"/>
          <w:sz w:val="20"/>
          <w:szCs w:val="20"/>
        </w:rPr>
      </w:pPr>
      <w:r w:rsidRPr="003370DD">
        <w:rPr>
          <w:rFonts w:ascii="Arial" w:hAnsi="Arial" w:cs="Arial"/>
          <w:noProof/>
          <w:sz w:val="20"/>
          <w:szCs w:val="20"/>
        </w:rPr>
        <w:drawing>
          <wp:inline distT="0" distB="0" distL="0" distR="0" wp14:anchorId="055AA563" wp14:editId="01878A2E">
            <wp:extent cx="5841242" cy="599164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7494" cy="5987797"/>
                    </a:xfrm>
                    <a:prstGeom prst="rect">
                      <a:avLst/>
                    </a:prstGeom>
                  </pic:spPr>
                </pic:pic>
              </a:graphicData>
            </a:graphic>
          </wp:inline>
        </w:drawing>
      </w:r>
    </w:p>
    <w:p w:rsidR="000E004D" w:rsidRDefault="000E004D" w:rsidP="000E004D">
      <w:pPr>
        <w:pStyle w:val="Caption"/>
        <w:rPr>
          <w:rFonts w:cs="Arial"/>
          <w:szCs w:val="20"/>
        </w:rPr>
      </w:pPr>
      <w:bookmarkStart w:id="0" w:name="_Ref289862340"/>
      <w:r w:rsidRPr="003370DD">
        <w:rPr>
          <w:rFonts w:cs="Arial"/>
          <w:szCs w:val="20"/>
        </w:rPr>
        <w:t xml:space="preserve">Figure </w:t>
      </w:r>
      <w:r w:rsidRPr="003370DD">
        <w:rPr>
          <w:rFonts w:cs="Arial"/>
          <w:szCs w:val="20"/>
        </w:rPr>
        <w:fldChar w:fldCharType="begin"/>
      </w:r>
      <w:r w:rsidRPr="003370DD">
        <w:rPr>
          <w:rFonts w:cs="Arial"/>
          <w:szCs w:val="20"/>
        </w:rPr>
        <w:instrText xml:space="preserve"> SEQ Figure \* ARABIC </w:instrText>
      </w:r>
      <w:r w:rsidRPr="003370DD">
        <w:rPr>
          <w:rFonts w:cs="Arial"/>
          <w:szCs w:val="20"/>
        </w:rPr>
        <w:fldChar w:fldCharType="separate"/>
      </w:r>
      <w:r w:rsidR="00656EB6">
        <w:rPr>
          <w:rFonts w:cs="Arial"/>
          <w:noProof/>
          <w:szCs w:val="20"/>
        </w:rPr>
        <w:t>1</w:t>
      </w:r>
      <w:r w:rsidRPr="003370DD">
        <w:rPr>
          <w:rFonts w:cs="Arial"/>
          <w:szCs w:val="20"/>
        </w:rPr>
        <w:fldChar w:fldCharType="end"/>
      </w:r>
      <w:bookmarkEnd w:id="0"/>
      <w:r w:rsidRPr="003370DD">
        <w:rPr>
          <w:rFonts w:cs="Arial"/>
          <w:szCs w:val="20"/>
        </w:rPr>
        <w:t xml:space="preserve"> Satellite image of South </w:t>
      </w:r>
      <w:proofErr w:type="spellStart"/>
      <w:r w:rsidRPr="003370DD">
        <w:rPr>
          <w:rFonts w:cs="Arial"/>
          <w:szCs w:val="20"/>
        </w:rPr>
        <w:t>Abusir</w:t>
      </w:r>
      <w:proofErr w:type="spellEnd"/>
      <w:r w:rsidRPr="003370DD">
        <w:rPr>
          <w:rFonts w:cs="Arial"/>
          <w:szCs w:val="20"/>
        </w:rPr>
        <w:t xml:space="preserve"> with North and Central Saqqara cemeteries (after </w:t>
      </w:r>
      <w:proofErr w:type="spellStart"/>
      <w:r w:rsidRPr="003370DD">
        <w:rPr>
          <w:rFonts w:cs="Arial"/>
          <w:szCs w:val="20"/>
        </w:rPr>
        <w:t>Barta</w:t>
      </w:r>
      <w:proofErr w:type="spellEnd"/>
      <w:r w:rsidRPr="003370DD">
        <w:rPr>
          <w:rFonts w:cs="Arial"/>
          <w:szCs w:val="20"/>
        </w:rPr>
        <w:t xml:space="preserve"> 2006: fig.1)</w:t>
      </w:r>
    </w:p>
    <w:p w:rsidR="00A40F9C" w:rsidRDefault="00A40F9C" w:rsidP="00A40F9C">
      <w:r>
        <w:rPr>
          <w:noProof/>
        </w:rPr>
        <w:lastRenderedPageBreak/>
        <w:drawing>
          <wp:inline distT="0" distB="0" distL="0" distR="0" wp14:anchorId="47CCB790" wp14:editId="13AAF9A4">
            <wp:extent cx="5229225" cy="30383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9225" cy="3038324"/>
                    </a:xfrm>
                    <a:prstGeom prst="rect">
                      <a:avLst/>
                    </a:prstGeom>
                    <a:noFill/>
                    <a:ln>
                      <a:noFill/>
                    </a:ln>
                  </pic:spPr>
                </pic:pic>
              </a:graphicData>
            </a:graphic>
          </wp:inline>
        </w:drawing>
      </w:r>
    </w:p>
    <w:p w:rsidR="007A2395" w:rsidRDefault="007A2395" w:rsidP="007A2395">
      <w:pPr>
        <w:pStyle w:val="Caption"/>
      </w:pPr>
      <w:bookmarkStart w:id="1" w:name="_Ref289938078"/>
      <w:r>
        <w:t xml:space="preserve">Figure </w:t>
      </w:r>
      <w:fldSimple w:instr=" SEQ Figure \* ARABIC ">
        <w:r w:rsidR="00656EB6">
          <w:rPr>
            <w:noProof/>
          </w:rPr>
          <w:t>2</w:t>
        </w:r>
      </w:fldSimple>
      <w:bookmarkEnd w:id="1"/>
      <w:r>
        <w:t xml:space="preserve"> Map of the </w:t>
      </w:r>
      <w:proofErr w:type="spellStart"/>
      <w:r>
        <w:t>Abusir</w:t>
      </w:r>
      <w:proofErr w:type="spellEnd"/>
      <w:r>
        <w:t xml:space="preserve"> Necropolis (after </w:t>
      </w:r>
      <w:proofErr w:type="spellStart"/>
      <w:r>
        <w:t>Barta</w:t>
      </w:r>
      <w:proofErr w:type="spellEnd"/>
      <w:r>
        <w:t xml:space="preserve"> 2002 fig. 7)</w:t>
      </w:r>
    </w:p>
    <w:p w:rsidR="00A40F9C" w:rsidRDefault="00545A89" w:rsidP="00A40F9C">
      <w:r>
        <w:rPr>
          <w:noProof/>
        </w:rPr>
        <w:drawing>
          <wp:inline distT="0" distB="0" distL="0" distR="0" wp14:anchorId="2137BDDB" wp14:editId="727B33A7">
            <wp:extent cx="3475349" cy="4238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28A0092B-C50C-407E-A947-70E740481C1C}">
                          <a14:useLocalDpi xmlns:a14="http://schemas.microsoft.com/office/drawing/2010/main" val="0"/>
                        </a:ext>
                      </a:extLst>
                    </a:blip>
                    <a:srcRect t="5118"/>
                    <a:stretch/>
                  </pic:blipFill>
                  <pic:spPr bwMode="auto">
                    <a:xfrm>
                      <a:off x="0" y="0"/>
                      <a:ext cx="3476710" cy="4240284"/>
                    </a:xfrm>
                    <a:prstGeom prst="rect">
                      <a:avLst/>
                    </a:prstGeom>
                    <a:noFill/>
                    <a:ln>
                      <a:noFill/>
                    </a:ln>
                    <a:extLst>
                      <a:ext uri="{53640926-AAD7-44D8-BBD7-CCE9431645EC}">
                        <a14:shadowObscured xmlns:a14="http://schemas.microsoft.com/office/drawing/2010/main"/>
                      </a:ext>
                    </a:extLst>
                  </pic:spPr>
                </pic:pic>
              </a:graphicData>
            </a:graphic>
          </wp:inline>
        </w:drawing>
      </w:r>
    </w:p>
    <w:p w:rsidR="00545A89" w:rsidRDefault="00545A89" w:rsidP="00545A89">
      <w:pPr>
        <w:pStyle w:val="Caption"/>
      </w:pPr>
      <w:bookmarkStart w:id="2" w:name="_Ref289968811"/>
      <w:r>
        <w:t xml:space="preserve">Figure </w:t>
      </w:r>
      <w:fldSimple w:instr=" SEQ Figure \* ARABIC ">
        <w:r w:rsidR="00656EB6">
          <w:rPr>
            <w:noProof/>
          </w:rPr>
          <w:t>3</w:t>
        </w:r>
      </w:fldSimple>
      <w:bookmarkEnd w:id="2"/>
      <w:r>
        <w:t xml:space="preserve"> Vizier </w:t>
      </w:r>
      <w:proofErr w:type="spellStart"/>
      <w:r>
        <w:t>Qar</w:t>
      </w:r>
      <w:proofErr w:type="spellEnd"/>
      <w:r>
        <w:t xml:space="preserve"> and his sons (after </w:t>
      </w:r>
      <w:proofErr w:type="spellStart"/>
      <w:r>
        <w:t>Barta</w:t>
      </w:r>
      <w:proofErr w:type="spellEnd"/>
      <w:r>
        <w:t xml:space="preserve"> 2002 p. 38)</w:t>
      </w:r>
    </w:p>
    <w:p w:rsidR="00A83F92" w:rsidRDefault="00A83F92" w:rsidP="00A83F92">
      <w:r>
        <w:rPr>
          <w:noProof/>
        </w:rPr>
        <w:lastRenderedPageBreak/>
        <w:drawing>
          <wp:inline distT="0" distB="0" distL="0" distR="0" wp14:anchorId="7B79773D" wp14:editId="7DE05CD0">
            <wp:extent cx="5744526" cy="776287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ABELED.jpg"/>
                    <pic:cNvPicPr/>
                  </pic:nvPicPr>
                  <pic:blipFill rotWithShape="1">
                    <a:blip r:embed="rId12" cstate="print">
                      <a:extLst>
                        <a:ext uri="{28A0092B-C50C-407E-A947-70E740481C1C}">
                          <a14:useLocalDpi xmlns:a14="http://schemas.microsoft.com/office/drawing/2010/main" val="0"/>
                        </a:ext>
                      </a:extLst>
                    </a:blip>
                    <a:srcRect r="33713" b="36294"/>
                    <a:stretch/>
                  </pic:blipFill>
                  <pic:spPr bwMode="auto">
                    <a:xfrm>
                      <a:off x="0" y="0"/>
                      <a:ext cx="5748892" cy="7768776"/>
                    </a:xfrm>
                    <a:prstGeom prst="rect">
                      <a:avLst/>
                    </a:prstGeom>
                    <a:ln>
                      <a:noFill/>
                    </a:ln>
                    <a:extLst>
                      <a:ext uri="{53640926-AAD7-44D8-BBD7-CCE9431645EC}">
                        <a14:shadowObscured xmlns:a14="http://schemas.microsoft.com/office/drawing/2010/main"/>
                      </a:ext>
                    </a:extLst>
                  </pic:spPr>
                </pic:pic>
              </a:graphicData>
            </a:graphic>
          </wp:inline>
        </w:drawing>
      </w:r>
    </w:p>
    <w:p w:rsidR="00A83F92" w:rsidRDefault="00A83F92" w:rsidP="00A83F92">
      <w:pPr>
        <w:pStyle w:val="Caption"/>
      </w:pPr>
      <w:bookmarkStart w:id="3" w:name="_Ref289971205"/>
      <w:r>
        <w:t xml:space="preserve">Figure </w:t>
      </w:r>
      <w:fldSimple w:instr=" SEQ Figure \* ARABIC ">
        <w:r w:rsidR="00656EB6">
          <w:rPr>
            <w:noProof/>
          </w:rPr>
          <w:t>4</w:t>
        </w:r>
      </w:fldSimple>
      <w:bookmarkEnd w:id="3"/>
      <w:r>
        <w:t xml:space="preserve"> Ground plan of the tomb complex of </w:t>
      </w:r>
      <w:proofErr w:type="spellStart"/>
      <w:r>
        <w:t>Qar</w:t>
      </w:r>
      <w:proofErr w:type="spellEnd"/>
      <w:r>
        <w:t xml:space="preserve"> (after </w:t>
      </w:r>
      <w:proofErr w:type="spellStart"/>
      <w:r>
        <w:t>Barta</w:t>
      </w:r>
      <w:proofErr w:type="spellEnd"/>
      <w:r>
        <w:t xml:space="preserve"> 2006 fig. 2)</w:t>
      </w:r>
    </w:p>
    <w:p w:rsidR="003904CD" w:rsidRDefault="003904CD" w:rsidP="003904CD">
      <w:r>
        <w:rPr>
          <w:noProof/>
        </w:rPr>
        <w:lastRenderedPageBreak/>
        <w:drawing>
          <wp:inline distT="0" distB="0" distL="0" distR="0" wp14:anchorId="235588EE" wp14:editId="2372E58F">
            <wp:extent cx="3371850" cy="4381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 t="6153" r="4583" b="15215"/>
                    <a:stretch/>
                  </pic:blipFill>
                  <pic:spPr bwMode="auto">
                    <a:xfrm>
                      <a:off x="0" y="0"/>
                      <a:ext cx="3371850" cy="4381500"/>
                    </a:xfrm>
                    <a:prstGeom prst="rect">
                      <a:avLst/>
                    </a:prstGeom>
                    <a:noFill/>
                    <a:ln>
                      <a:noFill/>
                    </a:ln>
                    <a:extLst>
                      <a:ext uri="{53640926-AAD7-44D8-BBD7-CCE9431645EC}">
                        <a14:shadowObscured xmlns:a14="http://schemas.microsoft.com/office/drawing/2010/main"/>
                      </a:ext>
                    </a:extLst>
                  </pic:spPr>
                </pic:pic>
              </a:graphicData>
            </a:graphic>
          </wp:inline>
        </w:drawing>
      </w:r>
    </w:p>
    <w:p w:rsidR="003904CD" w:rsidRDefault="003904CD" w:rsidP="003904CD">
      <w:pPr>
        <w:pStyle w:val="Caption"/>
      </w:pPr>
      <w:bookmarkStart w:id="4" w:name="_Ref289977101"/>
      <w:r>
        <w:t xml:space="preserve">Figure </w:t>
      </w:r>
      <w:fldSimple w:instr=" SEQ Figure \* ARABIC ">
        <w:r w:rsidR="00656EB6">
          <w:rPr>
            <w:noProof/>
          </w:rPr>
          <w:t>5</w:t>
        </w:r>
      </w:fldSimple>
      <w:bookmarkEnd w:id="4"/>
      <w:r>
        <w:t xml:space="preserve"> </w:t>
      </w:r>
      <w:proofErr w:type="spellStart"/>
      <w:r>
        <w:t>Groundplan</w:t>
      </w:r>
      <w:proofErr w:type="spellEnd"/>
      <w:r>
        <w:t xml:space="preserve"> of the </w:t>
      </w:r>
      <w:proofErr w:type="spellStart"/>
      <w:r>
        <w:t>mastaba</w:t>
      </w:r>
      <w:proofErr w:type="spellEnd"/>
      <w:r>
        <w:t xml:space="preserve"> of </w:t>
      </w:r>
      <w:proofErr w:type="spellStart"/>
      <w:r>
        <w:t>Ptahshepses</w:t>
      </w:r>
      <w:proofErr w:type="spellEnd"/>
      <w:r>
        <w:t xml:space="preserve">, vizier of </w:t>
      </w:r>
      <w:proofErr w:type="spellStart"/>
      <w:r>
        <w:t>Niuserre</w:t>
      </w:r>
      <w:proofErr w:type="spellEnd"/>
      <w:r>
        <w:t xml:space="preserve">. Fifth Dynasty, </w:t>
      </w:r>
      <w:proofErr w:type="spellStart"/>
      <w:r>
        <w:t>Abusir</w:t>
      </w:r>
      <w:proofErr w:type="spellEnd"/>
      <w:r>
        <w:t xml:space="preserve"> (after </w:t>
      </w:r>
      <w:proofErr w:type="spellStart"/>
      <w:r>
        <w:t>Balik</w:t>
      </w:r>
      <w:proofErr w:type="spellEnd"/>
      <w:r>
        <w:t xml:space="preserve"> and </w:t>
      </w:r>
      <w:proofErr w:type="spellStart"/>
      <w:r>
        <w:t>Vachala</w:t>
      </w:r>
      <w:proofErr w:type="spellEnd"/>
      <w:r>
        <w:t xml:space="preserve"> 2001 fig. 1)</w:t>
      </w:r>
    </w:p>
    <w:p w:rsidR="006F2CAE" w:rsidRDefault="006F2CAE" w:rsidP="006F2CAE">
      <w:r>
        <w:rPr>
          <w:noProof/>
        </w:rPr>
        <w:lastRenderedPageBreak/>
        <w:drawing>
          <wp:inline distT="0" distB="0" distL="0" distR="0" wp14:anchorId="09DD634A" wp14:editId="0D36B42D">
            <wp:extent cx="5038725" cy="700382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 kat.jpg"/>
                    <pic:cNvPicPr/>
                  </pic:nvPicPr>
                  <pic:blipFill rotWithShape="1">
                    <a:blip r:embed="rId14" cstate="print">
                      <a:extLst>
                        <a:ext uri="{28A0092B-C50C-407E-A947-70E740481C1C}">
                          <a14:useLocalDpi xmlns:a14="http://schemas.microsoft.com/office/drawing/2010/main" val="0"/>
                        </a:ext>
                      </a:extLst>
                    </a:blip>
                    <a:srcRect r="34853" b="35599"/>
                    <a:stretch/>
                  </pic:blipFill>
                  <pic:spPr bwMode="auto">
                    <a:xfrm>
                      <a:off x="0" y="0"/>
                      <a:ext cx="5045442" cy="7013164"/>
                    </a:xfrm>
                    <a:prstGeom prst="rect">
                      <a:avLst/>
                    </a:prstGeom>
                    <a:ln>
                      <a:noFill/>
                    </a:ln>
                    <a:extLst>
                      <a:ext uri="{53640926-AAD7-44D8-BBD7-CCE9431645EC}">
                        <a14:shadowObscured xmlns:a14="http://schemas.microsoft.com/office/drawing/2010/main"/>
                      </a:ext>
                    </a:extLst>
                  </pic:spPr>
                </pic:pic>
              </a:graphicData>
            </a:graphic>
          </wp:inline>
        </w:drawing>
      </w:r>
      <w:bookmarkStart w:id="5" w:name="_GoBack"/>
      <w:bookmarkEnd w:id="5"/>
    </w:p>
    <w:p w:rsidR="0034344F" w:rsidRPr="006F2CAE" w:rsidRDefault="0034344F" w:rsidP="0034344F">
      <w:pPr>
        <w:pStyle w:val="Caption"/>
      </w:pPr>
      <w:bookmarkStart w:id="6" w:name="_Ref289977522"/>
      <w:r>
        <w:t xml:space="preserve">Figure </w:t>
      </w:r>
      <w:fldSimple w:instr=" SEQ Figure \* ARABIC ">
        <w:r w:rsidR="00656EB6">
          <w:rPr>
            <w:noProof/>
          </w:rPr>
          <w:t>6</w:t>
        </w:r>
      </w:fldSimple>
      <w:bookmarkEnd w:id="6"/>
      <w:r>
        <w:t xml:space="preserve"> Burial chambers of </w:t>
      </w:r>
      <w:proofErr w:type="spellStart"/>
      <w:r>
        <w:t>Qar</w:t>
      </w:r>
      <w:proofErr w:type="spellEnd"/>
    </w:p>
    <w:p w:rsidR="003904CD" w:rsidRDefault="003904CD" w:rsidP="003904CD"/>
    <w:p w:rsidR="003904CD" w:rsidRPr="003904CD" w:rsidRDefault="003904CD" w:rsidP="003904CD"/>
    <w:p w:rsidR="007F650D" w:rsidRDefault="007F650D" w:rsidP="007F650D">
      <w:r>
        <w:rPr>
          <w:noProof/>
        </w:rPr>
        <w:lastRenderedPageBreak/>
        <w:drawing>
          <wp:inline distT="0" distB="0" distL="0" distR="0" wp14:anchorId="06AACEDC" wp14:editId="61CE7D5A">
            <wp:extent cx="5697119" cy="55494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2009" cy="5563966"/>
                    </a:xfrm>
                    <a:prstGeom prst="rect">
                      <a:avLst/>
                    </a:prstGeom>
                    <a:noFill/>
                    <a:ln>
                      <a:noFill/>
                    </a:ln>
                  </pic:spPr>
                </pic:pic>
              </a:graphicData>
            </a:graphic>
          </wp:inline>
        </w:drawing>
      </w:r>
    </w:p>
    <w:p w:rsidR="007F650D" w:rsidRDefault="007F650D" w:rsidP="007F650D">
      <w:pPr>
        <w:pStyle w:val="Caption"/>
      </w:pPr>
      <w:bookmarkStart w:id="7" w:name="_Ref289978199"/>
      <w:r>
        <w:t xml:space="preserve">Figure </w:t>
      </w:r>
      <w:fldSimple w:instr=" SEQ Figure \* ARABIC ">
        <w:r w:rsidR="00656EB6">
          <w:rPr>
            <w:noProof/>
          </w:rPr>
          <w:t>7</w:t>
        </w:r>
      </w:fldSimple>
      <w:bookmarkEnd w:id="7"/>
      <w:r>
        <w:t xml:space="preserve"> </w:t>
      </w:r>
      <w:proofErr w:type="gramStart"/>
      <w:r>
        <w:t>The</w:t>
      </w:r>
      <w:proofErr w:type="gramEnd"/>
      <w:r>
        <w:t xml:space="preserve"> false doors in the tomb of </w:t>
      </w:r>
      <w:proofErr w:type="spellStart"/>
      <w:r>
        <w:t>Qar</w:t>
      </w:r>
      <w:proofErr w:type="spellEnd"/>
      <w:r>
        <w:t xml:space="preserve">. Before he was assigned as the vizier (on the left) and after he was assigned as the vizier (on the right) (after </w:t>
      </w:r>
      <w:proofErr w:type="spellStart"/>
      <w:r>
        <w:t>Barta</w:t>
      </w:r>
      <w:proofErr w:type="spellEnd"/>
      <w:r>
        <w:t xml:space="preserve"> 2002 figs. 23 and 24)</w:t>
      </w:r>
    </w:p>
    <w:p w:rsidR="0034344F" w:rsidRDefault="0034344F" w:rsidP="0034344F">
      <w:r>
        <w:rPr>
          <w:noProof/>
        </w:rPr>
        <w:lastRenderedPageBreak/>
        <w:drawing>
          <wp:inline distT="0" distB="0" distL="0" distR="0" wp14:anchorId="49ABBEB6" wp14:editId="5CC01DDD">
            <wp:extent cx="2486497" cy="3957145"/>
            <wp:effectExtent l="0" t="0" r="952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2160" r="2034" b="2284"/>
                    <a:stretch/>
                  </pic:blipFill>
                  <pic:spPr bwMode="auto">
                    <a:xfrm>
                      <a:off x="0" y="0"/>
                      <a:ext cx="2488003" cy="3959542"/>
                    </a:xfrm>
                    <a:prstGeom prst="rect">
                      <a:avLst/>
                    </a:prstGeom>
                    <a:noFill/>
                    <a:ln>
                      <a:noFill/>
                    </a:ln>
                    <a:extLst>
                      <a:ext uri="{53640926-AAD7-44D8-BBD7-CCE9431645EC}">
                        <a14:shadowObscured xmlns:a14="http://schemas.microsoft.com/office/drawing/2010/main"/>
                      </a:ext>
                    </a:extLst>
                  </pic:spPr>
                </pic:pic>
              </a:graphicData>
            </a:graphic>
          </wp:inline>
        </w:drawing>
      </w:r>
    </w:p>
    <w:p w:rsidR="0034344F" w:rsidRDefault="0034344F" w:rsidP="0034344F">
      <w:pPr>
        <w:pStyle w:val="Caption"/>
      </w:pPr>
      <w:bookmarkStart w:id="8" w:name="_Ref289979721"/>
      <w:r>
        <w:t xml:space="preserve">Figure </w:t>
      </w:r>
      <w:r>
        <w:fldChar w:fldCharType="begin"/>
      </w:r>
      <w:r>
        <w:instrText xml:space="preserve"> SEQ Figure \* ARABIC </w:instrText>
      </w:r>
      <w:r>
        <w:fldChar w:fldCharType="separate"/>
      </w:r>
      <w:r w:rsidR="00656EB6">
        <w:rPr>
          <w:noProof/>
        </w:rPr>
        <w:t>8</w:t>
      </w:r>
      <w:r>
        <w:rPr>
          <w:noProof/>
        </w:rPr>
        <w:fldChar w:fldCharType="end"/>
      </w:r>
      <w:bookmarkEnd w:id="8"/>
      <w:r>
        <w:t xml:space="preserve"> </w:t>
      </w:r>
      <w:proofErr w:type="spellStart"/>
      <w:r>
        <w:t>Qar</w:t>
      </w:r>
      <w:proofErr w:type="spellEnd"/>
      <w:r>
        <w:t xml:space="preserve"> sitting in front of offerings. From the second chapel (after </w:t>
      </w:r>
      <w:proofErr w:type="spellStart"/>
      <w:r>
        <w:t>Barta</w:t>
      </w:r>
      <w:proofErr w:type="spellEnd"/>
      <w:r>
        <w:t xml:space="preserve"> 2002 fig. 22)</w:t>
      </w:r>
    </w:p>
    <w:p w:rsidR="0034344F" w:rsidRDefault="00104C7F" w:rsidP="0034344F">
      <w:r>
        <w:rPr>
          <w:noProof/>
        </w:rPr>
        <w:drawing>
          <wp:inline distT="0" distB="0" distL="0" distR="0" wp14:anchorId="514687A4" wp14:editId="19CE8F0C">
            <wp:extent cx="1924050" cy="3409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jpg"/>
                    <pic:cNvPicPr/>
                  </pic:nvPicPr>
                  <pic:blipFill rotWithShape="1">
                    <a:blip r:embed="rId17" cstate="print">
                      <a:extLst>
                        <a:ext uri="{28A0092B-C50C-407E-A947-70E740481C1C}">
                          <a14:useLocalDpi xmlns:a14="http://schemas.microsoft.com/office/drawing/2010/main" val="0"/>
                        </a:ext>
                      </a:extLst>
                    </a:blip>
                    <a:srcRect l="3911" t="2156" r="39663" b="1347"/>
                    <a:stretch/>
                  </pic:blipFill>
                  <pic:spPr bwMode="auto">
                    <a:xfrm>
                      <a:off x="0" y="0"/>
                      <a:ext cx="1928811" cy="3418388"/>
                    </a:xfrm>
                    <a:prstGeom prst="rect">
                      <a:avLst/>
                    </a:prstGeom>
                    <a:ln>
                      <a:noFill/>
                    </a:ln>
                    <a:extLst>
                      <a:ext uri="{53640926-AAD7-44D8-BBD7-CCE9431645EC}">
                        <a14:shadowObscured xmlns:a14="http://schemas.microsoft.com/office/drawing/2010/main"/>
                      </a:ext>
                    </a:extLst>
                  </pic:spPr>
                </pic:pic>
              </a:graphicData>
            </a:graphic>
          </wp:inline>
        </w:drawing>
      </w:r>
    </w:p>
    <w:p w:rsidR="00104C7F" w:rsidRPr="0034344F" w:rsidRDefault="00104C7F" w:rsidP="00104C7F">
      <w:pPr>
        <w:pStyle w:val="Caption"/>
      </w:pPr>
      <w:bookmarkStart w:id="9" w:name="_Ref289980100"/>
      <w:r>
        <w:t xml:space="preserve">Figure </w:t>
      </w:r>
      <w:fldSimple w:instr=" SEQ Figure \* ARABIC ">
        <w:r w:rsidR="00656EB6">
          <w:rPr>
            <w:noProof/>
          </w:rPr>
          <w:t>9</w:t>
        </w:r>
      </w:fldSimple>
      <w:bookmarkEnd w:id="9"/>
      <w:r>
        <w:t xml:space="preserve"> Detail of men dragging vessels (after </w:t>
      </w:r>
      <w:proofErr w:type="spellStart"/>
      <w:r>
        <w:t>Barta</w:t>
      </w:r>
      <w:proofErr w:type="spellEnd"/>
      <w:r>
        <w:t xml:space="preserve"> 2006 fig. 6)</w:t>
      </w:r>
    </w:p>
    <w:p w:rsidR="007F650D" w:rsidRDefault="00391A2E" w:rsidP="007F650D">
      <w:r>
        <w:rPr>
          <w:noProof/>
        </w:rPr>
        <w:lastRenderedPageBreak/>
        <w:drawing>
          <wp:inline distT="0" distB="0" distL="0" distR="0" wp14:anchorId="24528B7D" wp14:editId="0DBE02DF">
            <wp:extent cx="4448175" cy="2943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8175" cy="2943225"/>
                    </a:xfrm>
                    <a:prstGeom prst="rect">
                      <a:avLst/>
                    </a:prstGeom>
                    <a:noFill/>
                    <a:ln>
                      <a:noFill/>
                    </a:ln>
                  </pic:spPr>
                </pic:pic>
              </a:graphicData>
            </a:graphic>
          </wp:inline>
        </w:drawing>
      </w:r>
    </w:p>
    <w:p w:rsidR="00391A2E" w:rsidRDefault="00391A2E" w:rsidP="00391A2E">
      <w:pPr>
        <w:pStyle w:val="Caption"/>
      </w:pPr>
      <w:bookmarkStart w:id="10" w:name="_Ref289980369"/>
      <w:r>
        <w:t xml:space="preserve">Figure </w:t>
      </w:r>
      <w:fldSimple w:instr=" SEQ Figure \* ARABIC ">
        <w:r w:rsidR="00656EB6">
          <w:rPr>
            <w:noProof/>
          </w:rPr>
          <w:t>10</w:t>
        </w:r>
      </w:fldSimple>
      <w:bookmarkEnd w:id="10"/>
      <w:r>
        <w:t xml:space="preserve"> Offering tools from the chapel of </w:t>
      </w:r>
      <w:proofErr w:type="spellStart"/>
      <w:r>
        <w:t>Qar</w:t>
      </w:r>
      <w:proofErr w:type="spellEnd"/>
      <w:r>
        <w:t xml:space="preserve"> Junior (after </w:t>
      </w:r>
      <w:proofErr w:type="spellStart"/>
      <w:r>
        <w:t>Barta</w:t>
      </w:r>
      <w:proofErr w:type="spellEnd"/>
      <w:r>
        <w:t xml:space="preserve"> 2002 fig. 33)</w:t>
      </w:r>
    </w:p>
    <w:p w:rsidR="00656EB6" w:rsidRPr="00656EB6" w:rsidRDefault="00656EB6" w:rsidP="00656EB6"/>
    <w:p w:rsidR="00545A89" w:rsidRDefault="00545A89" w:rsidP="00545A89">
      <w:r>
        <w:rPr>
          <w:noProof/>
        </w:rPr>
        <w:drawing>
          <wp:inline distT="0" distB="0" distL="0" distR="0" wp14:anchorId="4D80CAED" wp14:editId="60F5BC7D">
            <wp:extent cx="3952875" cy="2314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2875" cy="2314575"/>
                    </a:xfrm>
                    <a:prstGeom prst="rect">
                      <a:avLst/>
                    </a:prstGeom>
                    <a:noFill/>
                    <a:ln>
                      <a:noFill/>
                    </a:ln>
                  </pic:spPr>
                </pic:pic>
              </a:graphicData>
            </a:graphic>
          </wp:inline>
        </w:drawing>
      </w:r>
    </w:p>
    <w:p w:rsidR="00545A89" w:rsidRDefault="00545A89" w:rsidP="00545A89">
      <w:pPr>
        <w:pStyle w:val="Caption"/>
      </w:pPr>
      <w:bookmarkStart w:id="11" w:name="_Ref289980371"/>
      <w:r>
        <w:t xml:space="preserve">Figure </w:t>
      </w:r>
      <w:fldSimple w:instr=" SEQ Figure \* ARABIC ">
        <w:r w:rsidR="00656EB6">
          <w:rPr>
            <w:noProof/>
          </w:rPr>
          <w:t>11</w:t>
        </w:r>
      </w:fldSimple>
      <w:bookmarkEnd w:id="11"/>
      <w:r>
        <w:t xml:space="preserve"> </w:t>
      </w:r>
      <w:proofErr w:type="gramStart"/>
      <w:r>
        <w:t>The</w:t>
      </w:r>
      <w:proofErr w:type="gramEnd"/>
      <w:r>
        <w:t xml:space="preserve"> tablet of the seven sacred oils from the chamber of </w:t>
      </w:r>
      <w:proofErr w:type="spellStart"/>
      <w:r>
        <w:t>Senedjemib</w:t>
      </w:r>
      <w:proofErr w:type="spellEnd"/>
      <w:r>
        <w:t xml:space="preserve"> (after </w:t>
      </w:r>
      <w:proofErr w:type="spellStart"/>
      <w:r>
        <w:t>Barta</w:t>
      </w:r>
      <w:proofErr w:type="spellEnd"/>
      <w:r>
        <w:t xml:space="preserve"> 2002 fig. 38)</w:t>
      </w:r>
    </w:p>
    <w:p w:rsidR="00656EB6" w:rsidRDefault="00656EB6" w:rsidP="00656EB6">
      <w:r>
        <w:rPr>
          <w:noProof/>
        </w:rPr>
        <w:lastRenderedPageBreak/>
        <w:drawing>
          <wp:inline distT="0" distB="0" distL="0" distR="0" wp14:anchorId="4E4CF1CF" wp14:editId="78E56956">
            <wp:extent cx="3629693" cy="7083188"/>
            <wp:effectExtent l="0" t="0" r="889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rotWithShape="1">
                    <a:blip r:embed="rId20" cstate="print">
                      <a:extLst>
                        <a:ext uri="{28A0092B-C50C-407E-A947-70E740481C1C}">
                          <a14:useLocalDpi xmlns:a14="http://schemas.microsoft.com/office/drawing/2010/main" val="0"/>
                        </a:ext>
                      </a:extLst>
                    </a:blip>
                    <a:srcRect r="27946"/>
                    <a:stretch/>
                  </pic:blipFill>
                  <pic:spPr bwMode="auto">
                    <a:xfrm>
                      <a:off x="0" y="0"/>
                      <a:ext cx="3629693" cy="7083188"/>
                    </a:xfrm>
                    <a:prstGeom prst="rect">
                      <a:avLst/>
                    </a:prstGeom>
                    <a:ln>
                      <a:noFill/>
                    </a:ln>
                    <a:extLst>
                      <a:ext uri="{53640926-AAD7-44D8-BBD7-CCE9431645EC}">
                        <a14:shadowObscured xmlns:a14="http://schemas.microsoft.com/office/drawing/2010/main"/>
                      </a:ext>
                    </a:extLst>
                  </pic:spPr>
                </pic:pic>
              </a:graphicData>
            </a:graphic>
          </wp:inline>
        </w:drawing>
      </w:r>
    </w:p>
    <w:p w:rsidR="00656EB6" w:rsidRDefault="00656EB6" w:rsidP="00BD705B">
      <w:pPr>
        <w:pStyle w:val="Caption"/>
        <w:tabs>
          <w:tab w:val="left" w:pos="8533"/>
        </w:tabs>
      </w:pPr>
      <w:bookmarkStart w:id="12" w:name="_Ref289980648"/>
      <w:r>
        <w:t xml:space="preserve">Figure </w:t>
      </w:r>
      <w:fldSimple w:instr=" SEQ Figure \* ARABIC ">
        <w:r w:rsidR="0007210D">
          <w:rPr>
            <w:noProof/>
          </w:rPr>
          <w:t>12</w:t>
        </w:r>
      </w:fldSimple>
      <w:bookmarkEnd w:id="12"/>
      <w:r>
        <w:t xml:space="preserve"> Plan of the complex showing the tomb of </w:t>
      </w:r>
      <w:proofErr w:type="spellStart"/>
      <w:r>
        <w:t>Inty</w:t>
      </w:r>
      <w:proofErr w:type="spellEnd"/>
      <w:r>
        <w:t xml:space="preserve"> in relation to that of </w:t>
      </w:r>
      <w:proofErr w:type="spellStart"/>
      <w:r>
        <w:t>Qar</w:t>
      </w:r>
      <w:proofErr w:type="spellEnd"/>
      <w:r w:rsidR="00BD705B">
        <w:tab/>
      </w:r>
    </w:p>
    <w:p w:rsidR="00BD705B" w:rsidRDefault="00BD705B" w:rsidP="00BD705B"/>
    <w:p w:rsidR="00BD705B" w:rsidRDefault="00BD705B" w:rsidP="00BD705B">
      <w:r>
        <w:rPr>
          <w:noProof/>
        </w:rPr>
        <w:lastRenderedPageBreak/>
        <w:drawing>
          <wp:inline distT="0" distB="0" distL="0" distR="0" wp14:anchorId="140711F7" wp14:editId="6E48DEA9">
            <wp:extent cx="2880307" cy="420351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1430" cy="4205149"/>
                    </a:xfrm>
                    <a:prstGeom prst="rect">
                      <a:avLst/>
                    </a:prstGeom>
                    <a:noFill/>
                    <a:ln>
                      <a:noFill/>
                    </a:ln>
                  </pic:spPr>
                </pic:pic>
              </a:graphicData>
            </a:graphic>
          </wp:inline>
        </w:drawing>
      </w:r>
    </w:p>
    <w:p w:rsidR="00BD705B" w:rsidRDefault="00BD705B" w:rsidP="00BD705B">
      <w:pPr>
        <w:pStyle w:val="Caption"/>
      </w:pPr>
      <w:bookmarkStart w:id="13" w:name="_Ref289980882"/>
      <w:r>
        <w:t xml:space="preserve">Figure </w:t>
      </w:r>
      <w:r>
        <w:fldChar w:fldCharType="begin"/>
      </w:r>
      <w:r>
        <w:instrText xml:space="preserve"> SEQ Figure \* ARABIC </w:instrText>
      </w:r>
      <w:r>
        <w:fldChar w:fldCharType="separate"/>
      </w:r>
      <w:r>
        <w:rPr>
          <w:noProof/>
        </w:rPr>
        <w:t>13</w:t>
      </w:r>
      <w:r>
        <w:rPr>
          <w:noProof/>
        </w:rPr>
        <w:fldChar w:fldCharType="end"/>
      </w:r>
      <w:bookmarkEnd w:id="13"/>
      <w:r>
        <w:t xml:space="preserve"> Offering scene from the southern wall of the chapel of </w:t>
      </w:r>
      <w:proofErr w:type="spellStart"/>
      <w:r>
        <w:t>Inti</w:t>
      </w:r>
      <w:proofErr w:type="spellEnd"/>
      <w:r>
        <w:t xml:space="preserve"> (after </w:t>
      </w:r>
      <w:proofErr w:type="spellStart"/>
      <w:r>
        <w:t>Barta</w:t>
      </w:r>
      <w:proofErr w:type="spellEnd"/>
      <w:r>
        <w:t xml:space="preserve"> 2002 fig. 26a)</w:t>
      </w:r>
    </w:p>
    <w:p w:rsidR="00656EB6" w:rsidRDefault="00656EB6" w:rsidP="00656EB6">
      <w:r>
        <w:rPr>
          <w:noProof/>
        </w:rPr>
        <w:drawing>
          <wp:inline distT="0" distB="0" distL="0" distR="0" wp14:anchorId="7C92E07E" wp14:editId="29BB3F94">
            <wp:extent cx="3739487" cy="28840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3504" cy="2887147"/>
                    </a:xfrm>
                    <a:prstGeom prst="rect">
                      <a:avLst/>
                    </a:prstGeom>
                    <a:noFill/>
                    <a:ln>
                      <a:noFill/>
                    </a:ln>
                  </pic:spPr>
                </pic:pic>
              </a:graphicData>
            </a:graphic>
          </wp:inline>
        </w:drawing>
      </w:r>
    </w:p>
    <w:p w:rsidR="00656EB6" w:rsidRDefault="00656EB6" w:rsidP="00656EB6">
      <w:pPr>
        <w:pStyle w:val="Caption"/>
      </w:pPr>
      <w:bookmarkStart w:id="14" w:name="_Ref289980884"/>
      <w:r>
        <w:t xml:space="preserve">Figure </w:t>
      </w:r>
      <w:r>
        <w:fldChar w:fldCharType="begin"/>
      </w:r>
      <w:r>
        <w:instrText xml:space="preserve"> SEQ Figure \* ARABIC </w:instrText>
      </w:r>
      <w:r>
        <w:fldChar w:fldCharType="separate"/>
      </w:r>
      <w:r w:rsidR="00BD705B">
        <w:rPr>
          <w:noProof/>
        </w:rPr>
        <w:t>14</w:t>
      </w:r>
      <w:r>
        <w:rPr>
          <w:noProof/>
        </w:rPr>
        <w:fldChar w:fldCharType="end"/>
      </w:r>
      <w:bookmarkEnd w:id="14"/>
      <w:r>
        <w:t xml:space="preserve"> Reconstructed entrance to the tomb of </w:t>
      </w:r>
      <w:proofErr w:type="spellStart"/>
      <w:r>
        <w:t>Inty</w:t>
      </w:r>
      <w:proofErr w:type="spellEnd"/>
      <w:r>
        <w:t xml:space="preserve"> (after </w:t>
      </w:r>
      <w:proofErr w:type="spellStart"/>
      <w:r>
        <w:t>Barta</w:t>
      </w:r>
      <w:proofErr w:type="spellEnd"/>
      <w:r>
        <w:t xml:space="preserve"> 2002 fig. 26b)</w:t>
      </w:r>
    </w:p>
    <w:p w:rsidR="00656EB6" w:rsidRDefault="00656EB6" w:rsidP="00656EB6">
      <w:r>
        <w:rPr>
          <w:noProof/>
        </w:rPr>
        <w:lastRenderedPageBreak/>
        <w:drawing>
          <wp:inline distT="0" distB="0" distL="0" distR="0" wp14:anchorId="0F82E9B5" wp14:editId="2C4C8F89">
            <wp:extent cx="5210022" cy="731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3008" cy="7319393"/>
                    </a:xfrm>
                    <a:prstGeom prst="rect">
                      <a:avLst/>
                    </a:prstGeom>
                    <a:noFill/>
                    <a:ln>
                      <a:noFill/>
                    </a:ln>
                  </pic:spPr>
                </pic:pic>
              </a:graphicData>
            </a:graphic>
          </wp:inline>
        </w:drawing>
      </w:r>
    </w:p>
    <w:p w:rsidR="00656EB6" w:rsidRDefault="00656EB6" w:rsidP="00656EB6">
      <w:pPr>
        <w:pStyle w:val="Caption"/>
      </w:pPr>
      <w:bookmarkStart w:id="15" w:name="_Ref289980885"/>
      <w:r>
        <w:t xml:space="preserve">Figure </w:t>
      </w:r>
      <w:r>
        <w:fldChar w:fldCharType="begin"/>
      </w:r>
      <w:r>
        <w:instrText xml:space="preserve"> SEQ Figure \* ARABIC </w:instrText>
      </w:r>
      <w:r>
        <w:fldChar w:fldCharType="separate"/>
      </w:r>
      <w:r>
        <w:rPr>
          <w:noProof/>
        </w:rPr>
        <w:t>15</w:t>
      </w:r>
      <w:r>
        <w:rPr>
          <w:noProof/>
        </w:rPr>
        <w:fldChar w:fldCharType="end"/>
      </w:r>
      <w:bookmarkEnd w:id="15"/>
      <w:r>
        <w:t xml:space="preserve"> False door of </w:t>
      </w:r>
      <w:proofErr w:type="spellStart"/>
      <w:r>
        <w:t>Inty</w:t>
      </w:r>
      <w:proofErr w:type="spellEnd"/>
      <w:r>
        <w:t xml:space="preserve"> (after </w:t>
      </w:r>
      <w:proofErr w:type="spellStart"/>
      <w:r>
        <w:t>Barta</w:t>
      </w:r>
      <w:proofErr w:type="spellEnd"/>
      <w:r>
        <w:t xml:space="preserve"> 2002 fig. 30)</w:t>
      </w:r>
    </w:p>
    <w:p w:rsidR="007F650D" w:rsidRPr="007F650D" w:rsidRDefault="007F650D" w:rsidP="007F650D"/>
    <w:p w:rsidR="000E004D" w:rsidRPr="003370DD" w:rsidRDefault="000E004D" w:rsidP="000E004D">
      <w:pPr>
        <w:rPr>
          <w:rFonts w:ascii="Arial" w:hAnsi="Arial" w:cs="Arial"/>
          <w:b/>
          <w:sz w:val="20"/>
          <w:szCs w:val="20"/>
          <w:u w:val="single"/>
        </w:rPr>
      </w:pPr>
      <w:r w:rsidRPr="003370DD">
        <w:rPr>
          <w:rFonts w:ascii="Arial" w:hAnsi="Arial" w:cs="Arial"/>
          <w:b/>
          <w:sz w:val="20"/>
          <w:szCs w:val="20"/>
          <w:u w:val="single"/>
        </w:rPr>
        <w:lastRenderedPageBreak/>
        <w:t>Bibliography</w:t>
      </w:r>
      <w:r w:rsidR="00780C97">
        <w:rPr>
          <w:rFonts w:ascii="Arial" w:hAnsi="Arial" w:cs="Arial"/>
          <w:b/>
          <w:sz w:val="20"/>
          <w:szCs w:val="20"/>
          <w:u w:val="single"/>
        </w:rPr>
        <w:t xml:space="preserve"> (</w:t>
      </w:r>
      <w:r w:rsidR="00780C97" w:rsidRPr="003370DD">
        <w:rPr>
          <w:rFonts w:ascii="Arial" w:hAnsi="Arial" w:cs="Arial"/>
          <w:b/>
          <w:sz w:val="20"/>
          <w:szCs w:val="20"/>
          <w:u w:val="single"/>
        </w:rPr>
        <w:t>Annotated</w:t>
      </w:r>
      <w:r w:rsidR="00780C97">
        <w:rPr>
          <w:rFonts w:ascii="Arial" w:hAnsi="Arial" w:cs="Arial"/>
          <w:b/>
          <w:sz w:val="20"/>
          <w:szCs w:val="20"/>
          <w:u w:val="single"/>
        </w:rPr>
        <w:t>)</w:t>
      </w:r>
      <w:r w:rsidRPr="003370DD">
        <w:rPr>
          <w:rFonts w:ascii="Arial" w:hAnsi="Arial" w:cs="Arial"/>
          <w:b/>
          <w:sz w:val="20"/>
          <w:szCs w:val="20"/>
          <w:u w:val="single"/>
        </w:rPr>
        <w:t>:</w:t>
      </w:r>
    </w:p>
    <w:p w:rsidR="003370DD" w:rsidRDefault="003904CD" w:rsidP="00493768">
      <w:pPr>
        <w:pStyle w:val="ref"/>
      </w:pPr>
      <w:proofErr w:type="spellStart"/>
      <w:proofErr w:type="gramStart"/>
      <w:r>
        <w:t>Balik</w:t>
      </w:r>
      <w:proofErr w:type="spellEnd"/>
      <w:r>
        <w:t xml:space="preserve">, </w:t>
      </w:r>
      <w:r w:rsidR="00493768">
        <w:t xml:space="preserve">M., and B. </w:t>
      </w:r>
      <w:proofErr w:type="spellStart"/>
      <w:r w:rsidR="00493768">
        <w:t>Vachala</w:t>
      </w:r>
      <w:proofErr w:type="spellEnd"/>
      <w:r w:rsidR="00493768">
        <w:t>.</w:t>
      </w:r>
      <w:proofErr w:type="gramEnd"/>
      <w:r w:rsidR="00493768">
        <w:t xml:space="preserve"> 2000. “The Scientific Restitution of </w:t>
      </w:r>
      <w:proofErr w:type="spellStart"/>
      <w:r w:rsidR="00493768">
        <w:t>Ptahshepses</w:t>
      </w:r>
      <w:proofErr w:type="spellEnd"/>
      <w:r w:rsidR="00493768">
        <w:t xml:space="preserve">’ </w:t>
      </w:r>
      <w:proofErr w:type="spellStart"/>
      <w:r w:rsidR="00493768">
        <w:t>Mastaba</w:t>
      </w:r>
      <w:proofErr w:type="spellEnd"/>
      <w:r w:rsidR="00493768">
        <w:t xml:space="preserve"> at </w:t>
      </w:r>
      <w:proofErr w:type="spellStart"/>
      <w:r w:rsidR="00493768">
        <w:t>Abusir</w:t>
      </w:r>
      <w:proofErr w:type="spellEnd"/>
      <w:r w:rsidR="00493768">
        <w:t xml:space="preserve"> – an Ideal Reconstruction.” </w:t>
      </w:r>
      <w:proofErr w:type="gramStart"/>
      <w:r w:rsidR="00493768">
        <w:t xml:space="preserve">In M. </w:t>
      </w:r>
      <w:proofErr w:type="spellStart"/>
      <w:r w:rsidR="00493768">
        <w:t>Barta</w:t>
      </w:r>
      <w:proofErr w:type="spellEnd"/>
      <w:r w:rsidR="00493768">
        <w:t xml:space="preserve"> and J. </w:t>
      </w:r>
      <w:proofErr w:type="spellStart"/>
      <w:r w:rsidR="00493768">
        <w:t>Krejci</w:t>
      </w:r>
      <w:proofErr w:type="spellEnd"/>
      <w:r w:rsidR="00493768">
        <w:t xml:space="preserve"> (eds.) </w:t>
      </w:r>
      <w:proofErr w:type="spellStart"/>
      <w:proofErr w:type="gramEnd"/>
      <w:r w:rsidR="00493768" w:rsidRPr="00493768">
        <w:rPr>
          <w:i/>
        </w:rPr>
        <w:t>Abusir</w:t>
      </w:r>
      <w:proofErr w:type="spellEnd"/>
      <w:r w:rsidR="00493768" w:rsidRPr="00493768">
        <w:rPr>
          <w:i/>
        </w:rPr>
        <w:t xml:space="preserve"> and Saqqara in the Year 2000</w:t>
      </w:r>
      <w:r w:rsidR="00493768">
        <w:t>. Prague: Academy of Sciences of the Czech Republic, pp. 317-330</w:t>
      </w:r>
      <w:r w:rsidR="00023FEA">
        <w:t>.</w:t>
      </w:r>
    </w:p>
    <w:p w:rsidR="00023FEA" w:rsidRDefault="00023FEA" w:rsidP="00023FEA">
      <w:r>
        <w:t xml:space="preserve">Detailed account on the Ptahshepses Mastaba at Abusir. This article was useful in terms of providing comparanda material for the Tomb Complex of </w:t>
      </w:r>
      <w:proofErr w:type="spellStart"/>
      <w:r>
        <w:t>Qar</w:t>
      </w:r>
      <w:proofErr w:type="spellEnd"/>
      <w:r>
        <w:t>.</w:t>
      </w:r>
    </w:p>
    <w:p w:rsidR="00023FEA" w:rsidRPr="003370DD" w:rsidRDefault="00023FEA" w:rsidP="00023FEA"/>
    <w:p w:rsidR="00A40F9C" w:rsidRPr="002E233A" w:rsidRDefault="00A40F9C" w:rsidP="002E233A">
      <w:pPr>
        <w:pStyle w:val="ref"/>
      </w:pPr>
      <w:r w:rsidRPr="002E233A">
        <w:t xml:space="preserve">Barta, M. 2002. Memories of 4500 Years Ago. </w:t>
      </w:r>
    </w:p>
    <w:p w:rsidR="00A40F9C" w:rsidRDefault="00A40F9C" w:rsidP="00023FEA">
      <w:proofErr w:type="gramStart"/>
      <w:r>
        <w:t>Catalogue for the exhibition with the same name.</w:t>
      </w:r>
      <w:proofErr w:type="gramEnd"/>
      <w:r>
        <w:t xml:space="preserve"> Not a highly academic source, but an easy read with good quality </w:t>
      </w:r>
      <w:r w:rsidR="007F650D">
        <w:t xml:space="preserve">and colorful </w:t>
      </w:r>
      <w:r>
        <w:t>v</w:t>
      </w:r>
      <w:r w:rsidR="00280400">
        <w:t>isual material.</w:t>
      </w:r>
    </w:p>
    <w:p w:rsidR="00023FEA" w:rsidRPr="003370DD" w:rsidRDefault="00023FEA" w:rsidP="00023FEA"/>
    <w:p w:rsidR="000E004D" w:rsidRDefault="000E004D" w:rsidP="002E233A">
      <w:pPr>
        <w:pStyle w:val="ref"/>
      </w:pPr>
      <w:r w:rsidRPr="003370DD">
        <w:t>Barta, M. 2006. “The Sixth Dynasty Tombs in Abusir. Tomb Complex of the Vizier Qar and His Family.” In The Old Kingdom Art and Archaeology, M. Barta (ed.). Prague: Publishing House of the Academy of Sciences of the Czech Republic.</w:t>
      </w:r>
    </w:p>
    <w:p w:rsidR="00780C97" w:rsidRDefault="00780C97" w:rsidP="00780C97">
      <w:r>
        <w:t xml:space="preserve">This paper was the most useful source for the </w:t>
      </w:r>
      <w:r w:rsidR="009B0F78">
        <w:t xml:space="preserve">Tomb Complex of </w:t>
      </w:r>
      <w:proofErr w:type="spellStart"/>
      <w:r w:rsidR="009B0F78">
        <w:t>Qar</w:t>
      </w:r>
      <w:proofErr w:type="spellEnd"/>
      <w:r w:rsidR="009B0F78">
        <w:t>. It is an extensive and detailed account of the architectural setting and its associated finds. Its most significant disadvantage is its black</w:t>
      </w:r>
      <w:r w:rsidR="00023FEA">
        <w:t xml:space="preserve">-and white photographs, which </w:t>
      </w:r>
      <w:r w:rsidR="009B0F78">
        <w:t>fortunately can be replaced through other publications.</w:t>
      </w:r>
    </w:p>
    <w:p w:rsidR="00023FEA" w:rsidRDefault="00023FEA" w:rsidP="00780C97"/>
    <w:p w:rsidR="00064AC8" w:rsidRDefault="00064AC8" w:rsidP="002E233A">
      <w:pPr>
        <w:pStyle w:val="ref"/>
      </w:pPr>
      <w:r>
        <w:t xml:space="preserve">Barta, M., Bruna, V., and R. Krivanek. 2003. “Research at South Abusir in 2001-2002 – Methods and Results.” </w:t>
      </w:r>
      <w:r w:rsidR="00553757" w:rsidRPr="00553757">
        <w:rPr>
          <w:i/>
        </w:rPr>
        <w:t>In Památky Archeologicke XCIV</w:t>
      </w:r>
      <w:r w:rsidR="00553757">
        <w:t>.</w:t>
      </w:r>
      <w:r w:rsidR="00553757" w:rsidRPr="00553757">
        <w:t xml:space="preserve"> </w:t>
      </w:r>
      <w:r w:rsidR="00553757">
        <w:t xml:space="preserve">Prague: </w:t>
      </w:r>
      <w:r w:rsidR="00553757" w:rsidRPr="00553757">
        <w:t>Archaeological Institute, pp.</w:t>
      </w:r>
      <w:r w:rsidR="00553757">
        <w:t xml:space="preserve"> 49-82.</w:t>
      </w:r>
    </w:p>
    <w:p w:rsidR="00780C97" w:rsidRDefault="00780C97" w:rsidP="00780C97">
      <w:r>
        <w:t xml:space="preserve">This article mainly concentrates on the geophysical work carried out in the </w:t>
      </w:r>
      <w:proofErr w:type="spellStart"/>
      <w:r>
        <w:t>Abusir</w:t>
      </w:r>
      <w:proofErr w:type="spellEnd"/>
      <w:r>
        <w:t xml:space="preserve"> cemetery, but does a good job of bringing in the results of this research into the larger social context. Its most important use, of course, is the information it offers for “filling in the gaps” between the visible monuments of </w:t>
      </w:r>
      <w:proofErr w:type="spellStart"/>
      <w:r>
        <w:t>Abusir</w:t>
      </w:r>
      <w:proofErr w:type="spellEnd"/>
      <w:r>
        <w:t xml:space="preserve"> through resistivity survey.</w:t>
      </w:r>
    </w:p>
    <w:p w:rsidR="00023FEA" w:rsidRDefault="00023FEA" w:rsidP="00780C97"/>
    <w:p w:rsidR="00841FF9" w:rsidRDefault="00841FF9" w:rsidP="000C1660">
      <w:pPr>
        <w:pStyle w:val="ref"/>
      </w:pPr>
      <w:proofErr w:type="spellStart"/>
      <w:r>
        <w:lastRenderedPageBreak/>
        <w:t>Callender</w:t>
      </w:r>
      <w:proofErr w:type="spellEnd"/>
      <w:r>
        <w:t xml:space="preserve">, V. G. 2000. </w:t>
      </w:r>
      <w:proofErr w:type="gramStart"/>
      <w:r>
        <w:t xml:space="preserve">“A propos the Title of r </w:t>
      </w:r>
      <w:proofErr w:type="spellStart"/>
      <w:r>
        <w:t>Nhn</w:t>
      </w:r>
      <w:proofErr w:type="spellEnd"/>
      <w:r>
        <w:t xml:space="preserve"> n z3b.”</w:t>
      </w:r>
      <w:proofErr w:type="gramEnd"/>
      <w:r>
        <w:t xml:space="preserve"> </w:t>
      </w:r>
      <w:proofErr w:type="gramStart"/>
      <w:r>
        <w:t xml:space="preserve">In M. </w:t>
      </w:r>
      <w:proofErr w:type="spellStart"/>
      <w:r>
        <w:t>Barta</w:t>
      </w:r>
      <w:proofErr w:type="spellEnd"/>
      <w:r>
        <w:t xml:space="preserve"> and J. </w:t>
      </w:r>
      <w:proofErr w:type="spellStart"/>
      <w:r>
        <w:t>Krejci</w:t>
      </w:r>
      <w:proofErr w:type="spellEnd"/>
      <w:r>
        <w:t xml:space="preserve"> (eds.) </w:t>
      </w:r>
      <w:proofErr w:type="spellStart"/>
      <w:r w:rsidRPr="00493768">
        <w:rPr>
          <w:i/>
        </w:rPr>
        <w:t>Abusir</w:t>
      </w:r>
      <w:proofErr w:type="spellEnd"/>
      <w:r w:rsidRPr="00493768">
        <w:rPr>
          <w:i/>
        </w:rPr>
        <w:t xml:space="preserve"> and Saqqara in the Year 2000</w:t>
      </w:r>
      <w:r>
        <w:t>.</w:t>
      </w:r>
      <w:proofErr w:type="gramEnd"/>
      <w:r>
        <w:t xml:space="preserve"> Prague: Academy of Sciences of the Czech Republic, pp. 3</w:t>
      </w:r>
      <w:r>
        <w:t>61</w:t>
      </w:r>
      <w:r>
        <w:t>-3</w:t>
      </w:r>
      <w:r>
        <w:t>8</w:t>
      </w:r>
      <w:r>
        <w:t>0</w:t>
      </w:r>
    </w:p>
    <w:p w:rsidR="00023FEA" w:rsidRDefault="008F6F7A" w:rsidP="008F6F7A">
      <w:proofErr w:type="gramStart"/>
      <w:r>
        <w:t xml:space="preserve">A detailed study on the history and the social significance of the title “Judge of Nekhen”, which appears on the wall of Chamber I of </w:t>
      </w:r>
      <w:proofErr w:type="spellStart"/>
      <w:r>
        <w:t>Qar</w:t>
      </w:r>
      <w:proofErr w:type="spellEnd"/>
      <w:r>
        <w:t>.</w:t>
      </w:r>
      <w:proofErr w:type="gramEnd"/>
      <w:r>
        <w:t xml:space="preserve"> This office is assumed to be held by </w:t>
      </w:r>
      <w:proofErr w:type="spellStart"/>
      <w:r>
        <w:t>Qar</w:t>
      </w:r>
      <w:proofErr w:type="spellEnd"/>
      <w:r>
        <w:t xml:space="preserve"> prior to become a vizier.</w:t>
      </w:r>
    </w:p>
    <w:p w:rsidR="00023FEA" w:rsidRDefault="00023FEA" w:rsidP="000C1660">
      <w:pPr>
        <w:pStyle w:val="ref"/>
      </w:pPr>
    </w:p>
    <w:p w:rsidR="003904CD" w:rsidRPr="002E233A" w:rsidRDefault="003904CD" w:rsidP="003904CD">
      <w:pPr>
        <w:pStyle w:val="ref"/>
      </w:pPr>
      <w:r w:rsidRPr="002E233A">
        <w:t>Czech Institute of Egyptology Website (</w:t>
      </w:r>
      <w:r w:rsidRPr="002E233A">
        <w:fldChar w:fldCharType="begin"/>
      </w:r>
      <w:r w:rsidRPr="002E233A">
        <w:instrText xml:space="preserve"> HYPERLINK "http://egyptologie.ff.cuni.cz/" </w:instrText>
      </w:r>
      <w:r w:rsidRPr="002E233A">
        <w:fldChar w:fldCharType="separate"/>
      </w:r>
      <w:r w:rsidRPr="002E233A">
        <w:rPr>
          <w:rStyle w:val="Hyperlink"/>
          <w:rFonts w:ascii="Arial" w:hAnsi="Arial" w:cs="Arial"/>
          <w:b/>
          <w:sz w:val="20"/>
          <w:szCs w:val="20"/>
        </w:rPr>
        <w:t>http://egyptologie.ff.cuni.cz</w:t>
      </w:r>
      <w:r w:rsidRPr="002E233A">
        <w:fldChar w:fldCharType="end"/>
      </w:r>
      <w:r w:rsidRPr="002E233A">
        <w:t>)</w:t>
      </w:r>
    </w:p>
    <w:p w:rsidR="003370DD" w:rsidRDefault="003904CD" w:rsidP="008F6F7A">
      <w:r>
        <w:t xml:space="preserve">Czech Institute of Egyptology is the leading institute involved in the expeditions in </w:t>
      </w:r>
      <w:proofErr w:type="spellStart"/>
      <w:r>
        <w:t>Abusir</w:t>
      </w:r>
      <w:proofErr w:type="spellEnd"/>
      <w:r>
        <w:t xml:space="preserve">. This website is a decent place to </w:t>
      </w:r>
      <w:proofErr w:type="gramStart"/>
      <w:r>
        <w:t>start,</w:t>
      </w:r>
      <w:proofErr w:type="gramEnd"/>
      <w:r>
        <w:t xml:space="preserve"> with a whole catalogue of publications (a few are also available online as e-books!). </w:t>
      </w:r>
    </w:p>
    <w:p w:rsidR="008F6F7A" w:rsidRDefault="008F6F7A" w:rsidP="000E004D"/>
    <w:p w:rsidR="008F6F7A" w:rsidRPr="008F6F7A" w:rsidRDefault="008F6F7A" w:rsidP="008F6F7A">
      <w:r w:rsidRPr="008F6F7A">
        <w:t>“</w:t>
      </w:r>
      <w:proofErr w:type="spellStart"/>
      <w:r w:rsidRPr="008F6F7A">
        <w:t>Abusir</w:t>
      </w:r>
      <w:proofErr w:type="spellEnd"/>
      <w:r w:rsidRPr="008F6F7A">
        <w:t xml:space="preserve"> </w:t>
      </w:r>
      <w:proofErr w:type="gramStart"/>
      <w:r w:rsidRPr="008F6F7A">
        <w:t>XIII :</w:t>
      </w:r>
      <w:proofErr w:type="gramEnd"/>
      <w:r w:rsidRPr="008F6F7A">
        <w:t xml:space="preserve"> tomb complex of the vizier </w:t>
      </w:r>
      <w:proofErr w:type="spellStart"/>
      <w:r w:rsidRPr="008F6F7A">
        <w:t>Qar</w:t>
      </w:r>
      <w:proofErr w:type="spellEnd"/>
      <w:r w:rsidRPr="008F6F7A">
        <w:t xml:space="preserve">, his sons </w:t>
      </w:r>
      <w:proofErr w:type="spellStart"/>
      <w:r w:rsidRPr="008F6F7A">
        <w:t>Qar</w:t>
      </w:r>
      <w:proofErr w:type="spellEnd"/>
      <w:r w:rsidRPr="008F6F7A">
        <w:t xml:space="preserve"> Junior and </w:t>
      </w:r>
      <w:proofErr w:type="spellStart"/>
      <w:r w:rsidRPr="008F6F7A">
        <w:t>Senedjemib</w:t>
      </w:r>
      <w:proofErr w:type="spellEnd"/>
      <w:r w:rsidRPr="008F6F7A">
        <w:t xml:space="preserve">, and </w:t>
      </w:r>
      <w:proofErr w:type="spellStart"/>
      <w:r w:rsidRPr="008F6F7A">
        <w:t>Iykai</w:t>
      </w:r>
      <w:proofErr w:type="spellEnd"/>
      <w:r w:rsidRPr="008F6F7A">
        <w:t xml:space="preserve">” was published in 2010, but unfortunately this volume </w:t>
      </w:r>
      <w:r>
        <w:t>did not arrive at the Brown library yet</w:t>
      </w:r>
      <w:r w:rsidRPr="008F6F7A">
        <w:t xml:space="preserve">. </w:t>
      </w:r>
      <w:r>
        <w:t>Since I could not have it on time through the ILL either, I could not use this book</w:t>
      </w:r>
      <w:r w:rsidR="000F3812">
        <w:t>.</w:t>
      </w:r>
      <w:r>
        <w:t xml:space="preserve"> However, it seems to be an invaluable source.</w:t>
      </w:r>
    </w:p>
    <w:p w:rsidR="003370DD" w:rsidRPr="003370DD" w:rsidRDefault="003370DD" w:rsidP="000E004D">
      <w:pPr>
        <w:rPr>
          <w:rFonts w:ascii="Arial" w:hAnsi="Arial" w:cs="Arial"/>
          <w:sz w:val="20"/>
          <w:szCs w:val="20"/>
        </w:rPr>
      </w:pPr>
    </w:p>
    <w:sectPr w:rsidR="003370DD" w:rsidRPr="003370DD">
      <w:footerReference w:type="defaul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2E7" w:rsidRDefault="007E02E7" w:rsidP="00B657B1">
      <w:pPr>
        <w:spacing w:after="0" w:line="240" w:lineRule="auto"/>
      </w:pPr>
      <w:r>
        <w:separator/>
      </w:r>
    </w:p>
  </w:endnote>
  <w:endnote w:type="continuationSeparator" w:id="0">
    <w:p w:rsidR="007E02E7" w:rsidRDefault="007E02E7" w:rsidP="00B65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463364"/>
      <w:docPartObj>
        <w:docPartGallery w:val="Page Numbers (Bottom of Page)"/>
        <w:docPartUnique/>
      </w:docPartObj>
    </w:sdtPr>
    <w:sdtEndPr>
      <w:rPr>
        <w:noProof/>
      </w:rPr>
    </w:sdtEndPr>
    <w:sdtContent>
      <w:p w:rsidR="003904CD" w:rsidRDefault="003904CD">
        <w:pPr>
          <w:pStyle w:val="Footer"/>
          <w:jc w:val="right"/>
        </w:pPr>
        <w:r>
          <w:fldChar w:fldCharType="begin"/>
        </w:r>
        <w:r>
          <w:instrText xml:space="preserve"> PAGE   \* MERGEFORMAT </w:instrText>
        </w:r>
        <w:r>
          <w:fldChar w:fldCharType="separate"/>
        </w:r>
        <w:r w:rsidR="00C73259">
          <w:rPr>
            <w:noProof/>
          </w:rPr>
          <w:t>4</w:t>
        </w:r>
        <w:r>
          <w:rPr>
            <w:noProof/>
          </w:rPr>
          <w:fldChar w:fldCharType="end"/>
        </w:r>
      </w:p>
    </w:sdtContent>
  </w:sdt>
  <w:p w:rsidR="003904CD" w:rsidRDefault="003904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2E7" w:rsidRDefault="007E02E7" w:rsidP="00B657B1">
      <w:pPr>
        <w:spacing w:after="0" w:line="240" w:lineRule="auto"/>
      </w:pPr>
      <w:r>
        <w:separator/>
      </w:r>
    </w:p>
  </w:footnote>
  <w:footnote w:type="continuationSeparator" w:id="0">
    <w:p w:rsidR="007E02E7" w:rsidRDefault="007E02E7" w:rsidP="00B657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646AFA"/>
    <w:lvl w:ilvl="0">
      <w:start w:val="1"/>
      <w:numFmt w:val="decimal"/>
      <w:lvlText w:val="%1."/>
      <w:lvlJc w:val="left"/>
      <w:pPr>
        <w:tabs>
          <w:tab w:val="num" w:pos="1492"/>
        </w:tabs>
        <w:ind w:left="1492" w:hanging="360"/>
      </w:pPr>
    </w:lvl>
  </w:abstractNum>
  <w:abstractNum w:abstractNumId="1">
    <w:nsid w:val="FFFFFF7D"/>
    <w:multiLevelType w:val="singleLevel"/>
    <w:tmpl w:val="FBE07178"/>
    <w:lvl w:ilvl="0">
      <w:start w:val="1"/>
      <w:numFmt w:val="decimal"/>
      <w:lvlText w:val="%1."/>
      <w:lvlJc w:val="left"/>
      <w:pPr>
        <w:tabs>
          <w:tab w:val="num" w:pos="1209"/>
        </w:tabs>
        <w:ind w:left="1209" w:hanging="360"/>
      </w:pPr>
    </w:lvl>
  </w:abstractNum>
  <w:abstractNum w:abstractNumId="2">
    <w:nsid w:val="FFFFFF7E"/>
    <w:multiLevelType w:val="singleLevel"/>
    <w:tmpl w:val="01E88C6C"/>
    <w:lvl w:ilvl="0">
      <w:start w:val="1"/>
      <w:numFmt w:val="decimal"/>
      <w:lvlText w:val="%1."/>
      <w:lvlJc w:val="left"/>
      <w:pPr>
        <w:tabs>
          <w:tab w:val="num" w:pos="926"/>
        </w:tabs>
        <w:ind w:left="926" w:hanging="360"/>
      </w:pPr>
    </w:lvl>
  </w:abstractNum>
  <w:abstractNum w:abstractNumId="3">
    <w:nsid w:val="FFFFFF7F"/>
    <w:multiLevelType w:val="singleLevel"/>
    <w:tmpl w:val="D38A0CEA"/>
    <w:lvl w:ilvl="0">
      <w:start w:val="1"/>
      <w:numFmt w:val="decimal"/>
      <w:lvlText w:val="%1."/>
      <w:lvlJc w:val="left"/>
      <w:pPr>
        <w:tabs>
          <w:tab w:val="num" w:pos="643"/>
        </w:tabs>
        <w:ind w:left="643" w:hanging="360"/>
      </w:pPr>
    </w:lvl>
  </w:abstractNum>
  <w:abstractNum w:abstractNumId="4">
    <w:nsid w:val="FFFFFF80"/>
    <w:multiLevelType w:val="singleLevel"/>
    <w:tmpl w:val="319A2C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06A96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83E6BF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C6E51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FC26E68"/>
    <w:lvl w:ilvl="0">
      <w:start w:val="1"/>
      <w:numFmt w:val="decimal"/>
      <w:lvlText w:val="%1."/>
      <w:lvlJc w:val="left"/>
      <w:pPr>
        <w:tabs>
          <w:tab w:val="num" w:pos="360"/>
        </w:tabs>
        <w:ind w:left="360" w:hanging="360"/>
      </w:pPr>
    </w:lvl>
  </w:abstractNum>
  <w:abstractNum w:abstractNumId="9">
    <w:nsid w:val="FFFFFF89"/>
    <w:multiLevelType w:val="singleLevel"/>
    <w:tmpl w:val="9656EF6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04D"/>
    <w:rsid w:val="00023FEA"/>
    <w:rsid w:val="00064AC8"/>
    <w:rsid w:val="0007210D"/>
    <w:rsid w:val="00072978"/>
    <w:rsid w:val="00085686"/>
    <w:rsid w:val="000C1660"/>
    <w:rsid w:val="000D23E8"/>
    <w:rsid w:val="000E004D"/>
    <w:rsid w:val="000F3812"/>
    <w:rsid w:val="00104C7F"/>
    <w:rsid w:val="00165E78"/>
    <w:rsid w:val="00170AC9"/>
    <w:rsid w:val="002064AF"/>
    <w:rsid w:val="00280400"/>
    <w:rsid w:val="002C76C5"/>
    <w:rsid w:val="002D38DB"/>
    <w:rsid w:val="002E233A"/>
    <w:rsid w:val="00306171"/>
    <w:rsid w:val="003370DD"/>
    <w:rsid w:val="0034344F"/>
    <w:rsid w:val="003904CD"/>
    <w:rsid w:val="00391A2E"/>
    <w:rsid w:val="003931EC"/>
    <w:rsid w:val="003A0897"/>
    <w:rsid w:val="003B1578"/>
    <w:rsid w:val="00493768"/>
    <w:rsid w:val="00494491"/>
    <w:rsid w:val="00544A92"/>
    <w:rsid w:val="00545A89"/>
    <w:rsid w:val="00553757"/>
    <w:rsid w:val="00633503"/>
    <w:rsid w:val="00656EB6"/>
    <w:rsid w:val="006F2CAE"/>
    <w:rsid w:val="00780C97"/>
    <w:rsid w:val="007A2395"/>
    <w:rsid w:val="007E02E7"/>
    <w:rsid w:val="007F650D"/>
    <w:rsid w:val="00841FF9"/>
    <w:rsid w:val="0089557C"/>
    <w:rsid w:val="008F6F7A"/>
    <w:rsid w:val="009075DA"/>
    <w:rsid w:val="009B0F78"/>
    <w:rsid w:val="00A23D1D"/>
    <w:rsid w:val="00A40F9C"/>
    <w:rsid w:val="00A60EBE"/>
    <w:rsid w:val="00A83F92"/>
    <w:rsid w:val="00AF23CA"/>
    <w:rsid w:val="00B657B1"/>
    <w:rsid w:val="00BB5FB1"/>
    <w:rsid w:val="00BC5A80"/>
    <w:rsid w:val="00BD705B"/>
    <w:rsid w:val="00C3036E"/>
    <w:rsid w:val="00C721D6"/>
    <w:rsid w:val="00C73259"/>
    <w:rsid w:val="00D8285A"/>
    <w:rsid w:val="00D903F9"/>
    <w:rsid w:val="00DB36DB"/>
    <w:rsid w:val="00DF1451"/>
    <w:rsid w:val="00E10557"/>
    <w:rsid w:val="00EC0FBC"/>
    <w:rsid w:val="00EE01A7"/>
    <w:rsid w:val="00F91275"/>
    <w:rsid w:val="00FD0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1D6"/>
    <w:pPr>
      <w:spacing w:line="36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04D"/>
    <w:rPr>
      <w:rFonts w:ascii="Tahoma" w:hAnsi="Tahoma" w:cs="Tahoma"/>
      <w:sz w:val="16"/>
      <w:szCs w:val="16"/>
    </w:rPr>
  </w:style>
  <w:style w:type="paragraph" w:styleId="Caption">
    <w:name w:val="caption"/>
    <w:basedOn w:val="Normal"/>
    <w:next w:val="Normal"/>
    <w:uiPriority w:val="35"/>
    <w:unhideWhenUsed/>
    <w:qFormat/>
    <w:rsid w:val="00EE01A7"/>
    <w:pPr>
      <w:spacing w:line="240" w:lineRule="auto"/>
    </w:pPr>
    <w:rPr>
      <w:rFonts w:ascii="Arial" w:hAnsi="Arial"/>
      <w:bCs/>
      <w:sz w:val="20"/>
      <w:szCs w:val="18"/>
    </w:rPr>
  </w:style>
  <w:style w:type="character" w:styleId="Hyperlink">
    <w:name w:val="Hyperlink"/>
    <w:basedOn w:val="DefaultParagraphFont"/>
    <w:uiPriority w:val="99"/>
    <w:semiHidden/>
    <w:unhideWhenUsed/>
    <w:rsid w:val="003370DD"/>
    <w:rPr>
      <w:color w:val="0000FF"/>
      <w:u w:val="single"/>
    </w:rPr>
  </w:style>
  <w:style w:type="paragraph" w:customStyle="1" w:styleId="ref">
    <w:name w:val="ref"/>
    <w:basedOn w:val="Normal"/>
    <w:qFormat/>
    <w:rsid w:val="008F6F7A"/>
    <w:pPr>
      <w:spacing w:line="240" w:lineRule="auto"/>
      <w:ind w:left="567" w:hanging="567"/>
      <w:jc w:val="left"/>
    </w:pPr>
    <w:rPr>
      <w:rFonts w:eastAsiaTheme="minorEastAsia" w:cs="Times New Roman"/>
      <w:szCs w:val="24"/>
      <w:lang w:val="tr-TR" w:eastAsia="tr-TR"/>
    </w:rPr>
  </w:style>
  <w:style w:type="paragraph" w:styleId="NoSpacing">
    <w:name w:val="No Spacing"/>
    <w:uiPriority w:val="1"/>
    <w:qFormat/>
    <w:rsid w:val="002E233A"/>
    <w:pPr>
      <w:spacing w:after="0" w:line="240" w:lineRule="auto"/>
    </w:pPr>
  </w:style>
  <w:style w:type="paragraph" w:styleId="IntenseQuote">
    <w:name w:val="Intense Quote"/>
    <w:basedOn w:val="Normal"/>
    <w:next w:val="Normal"/>
    <w:link w:val="IntenseQuoteChar"/>
    <w:uiPriority w:val="30"/>
    <w:qFormat/>
    <w:rsid w:val="00064AC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64AC8"/>
    <w:rPr>
      <w:b/>
      <w:bCs/>
      <w:i/>
      <w:iCs/>
      <w:color w:val="4F81BD" w:themeColor="accent1"/>
    </w:rPr>
  </w:style>
  <w:style w:type="character" w:customStyle="1" w:styleId="apple-style-span">
    <w:name w:val="apple-style-span"/>
    <w:basedOn w:val="DefaultParagraphFont"/>
    <w:rsid w:val="00553757"/>
  </w:style>
  <w:style w:type="paragraph" w:styleId="Header">
    <w:name w:val="header"/>
    <w:basedOn w:val="Normal"/>
    <w:link w:val="HeaderChar"/>
    <w:uiPriority w:val="99"/>
    <w:unhideWhenUsed/>
    <w:rsid w:val="00B657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7B1"/>
  </w:style>
  <w:style w:type="paragraph" w:styleId="Footer">
    <w:name w:val="footer"/>
    <w:basedOn w:val="Normal"/>
    <w:link w:val="FooterChar"/>
    <w:uiPriority w:val="99"/>
    <w:unhideWhenUsed/>
    <w:rsid w:val="00B657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1D6"/>
    <w:pPr>
      <w:spacing w:line="36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04D"/>
    <w:rPr>
      <w:rFonts w:ascii="Tahoma" w:hAnsi="Tahoma" w:cs="Tahoma"/>
      <w:sz w:val="16"/>
      <w:szCs w:val="16"/>
    </w:rPr>
  </w:style>
  <w:style w:type="paragraph" w:styleId="Caption">
    <w:name w:val="caption"/>
    <w:basedOn w:val="Normal"/>
    <w:next w:val="Normal"/>
    <w:uiPriority w:val="35"/>
    <w:unhideWhenUsed/>
    <w:qFormat/>
    <w:rsid w:val="00EE01A7"/>
    <w:pPr>
      <w:spacing w:line="240" w:lineRule="auto"/>
    </w:pPr>
    <w:rPr>
      <w:rFonts w:ascii="Arial" w:hAnsi="Arial"/>
      <w:bCs/>
      <w:sz w:val="20"/>
      <w:szCs w:val="18"/>
    </w:rPr>
  </w:style>
  <w:style w:type="character" w:styleId="Hyperlink">
    <w:name w:val="Hyperlink"/>
    <w:basedOn w:val="DefaultParagraphFont"/>
    <w:uiPriority w:val="99"/>
    <w:semiHidden/>
    <w:unhideWhenUsed/>
    <w:rsid w:val="003370DD"/>
    <w:rPr>
      <w:color w:val="0000FF"/>
      <w:u w:val="single"/>
    </w:rPr>
  </w:style>
  <w:style w:type="paragraph" w:customStyle="1" w:styleId="ref">
    <w:name w:val="ref"/>
    <w:basedOn w:val="Normal"/>
    <w:qFormat/>
    <w:rsid w:val="008F6F7A"/>
    <w:pPr>
      <w:spacing w:line="240" w:lineRule="auto"/>
      <w:ind w:left="567" w:hanging="567"/>
      <w:jc w:val="left"/>
    </w:pPr>
    <w:rPr>
      <w:rFonts w:eastAsiaTheme="minorEastAsia" w:cs="Times New Roman"/>
      <w:szCs w:val="24"/>
      <w:lang w:val="tr-TR" w:eastAsia="tr-TR"/>
    </w:rPr>
  </w:style>
  <w:style w:type="paragraph" w:styleId="NoSpacing">
    <w:name w:val="No Spacing"/>
    <w:uiPriority w:val="1"/>
    <w:qFormat/>
    <w:rsid w:val="002E233A"/>
    <w:pPr>
      <w:spacing w:after="0" w:line="240" w:lineRule="auto"/>
    </w:pPr>
  </w:style>
  <w:style w:type="paragraph" w:styleId="IntenseQuote">
    <w:name w:val="Intense Quote"/>
    <w:basedOn w:val="Normal"/>
    <w:next w:val="Normal"/>
    <w:link w:val="IntenseQuoteChar"/>
    <w:uiPriority w:val="30"/>
    <w:qFormat/>
    <w:rsid w:val="00064AC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64AC8"/>
    <w:rPr>
      <w:b/>
      <w:bCs/>
      <w:i/>
      <w:iCs/>
      <w:color w:val="4F81BD" w:themeColor="accent1"/>
    </w:rPr>
  </w:style>
  <w:style w:type="character" w:customStyle="1" w:styleId="apple-style-span">
    <w:name w:val="apple-style-span"/>
    <w:basedOn w:val="DefaultParagraphFont"/>
    <w:rsid w:val="00553757"/>
  </w:style>
  <w:style w:type="paragraph" w:styleId="Header">
    <w:name w:val="header"/>
    <w:basedOn w:val="Normal"/>
    <w:link w:val="HeaderChar"/>
    <w:uiPriority w:val="99"/>
    <w:unhideWhenUsed/>
    <w:rsid w:val="00B657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7B1"/>
  </w:style>
  <w:style w:type="paragraph" w:styleId="Footer">
    <w:name w:val="footer"/>
    <w:basedOn w:val="Normal"/>
    <w:link w:val="FooterChar"/>
    <w:uiPriority w:val="99"/>
    <w:unhideWhenUsed/>
    <w:rsid w:val="00B657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85848-3E84-4002-A9EB-9A6C7850B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1744</Words>
  <Characters>9944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pandora's box</dc:creator>
  <cp:lastModifiedBy>muge durusu</cp:lastModifiedBy>
  <cp:revision>2</cp:revision>
  <dcterms:created xsi:type="dcterms:W3CDTF">2011-04-08T03:20:00Z</dcterms:created>
  <dcterms:modified xsi:type="dcterms:W3CDTF">2011-04-08T03:20:00Z</dcterms:modified>
</cp:coreProperties>
</file>