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4E3" w:rsidRDefault="00A534E3" w:rsidP="00A534E3">
      <w:pPr>
        <w:spacing w:line="480" w:lineRule="auto"/>
        <w:contextualSpacing/>
        <w:rPr>
          <w:rFonts w:ascii="Times New Roman" w:hAnsi="Times New Roman" w:cs="Times New Roman"/>
          <w:sz w:val="24"/>
          <w:szCs w:val="24"/>
        </w:rPr>
      </w:pPr>
      <w:r>
        <w:rPr>
          <w:rFonts w:ascii="Times New Roman" w:hAnsi="Times New Roman" w:cs="Times New Roman"/>
          <w:sz w:val="24"/>
          <w:szCs w:val="24"/>
        </w:rPr>
        <w:t>Christina DiFabio</w:t>
      </w:r>
    </w:p>
    <w:p w:rsidR="005C03C1" w:rsidRDefault="005C03C1" w:rsidP="00A534E3">
      <w:pPr>
        <w:spacing w:line="480" w:lineRule="auto"/>
        <w:contextualSpacing/>
        <w:rPr>
          <w:rFonts w:ascii="Times New Roman" w:hAnsi="Times New Roman" w:cs="Times New Roman"/>
          <w:sz w:val="24"/>
          <w:szCs w:val="24"/>
        </w:rPr>
      </w:pPr>
      <w:r>
        <w:rPr>
          <w:rFonts w:ascii="Times New Roman" w:hAnsi="Times New Roman" w:cs="Times New Roman"/>
          <w:sz w:val="24"/>
          <w:szCs w:val="24"/>
        </w:rPr>
        <w:t>9/20/12</w:t>
      </w:r>
    </w:p>
    <w:p w:rsidR="00A534E3" w:rsidRDefault="00A534E3" w:rsidP="00A534E3">
      <w:pPr>
        <w:spacing w:line="480" w:lineRule="auto"/>
        <w:contextualSpacing/>
        <w:rPr>
          <w:rFonts w:ascii="Times New Roman" w:hAnsi="Times New Roman" w:cs="Times New Roman"/>
          <w:sz w:val="24"/>
          <w:szCs w:val="24"/>
        </w:rPr>
      </w:pPr>
      <w:r>
        <w:rPr>
          <w:rFonts w:ascii="Times New Roman" w:hAnsi="Times New Roman" w:cs="Times New Roman"/>
          <w:sz w:val="24"/>
          <w:szCs w:val="24"/>
        </w:rPr>
        <w:t>ARCH1900</w:t>
      </w:r>
    </w:p>
    <w:p w:rsidR="00A534E3" w:rsidRDefault="00862ED1" w:rsidP="00A534E3">
      <w:pPr>
        <w:spacing w:line="480"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Site Report: Pembroke Field</w:t>
      </w:r>
    </w:p>
    <w:p w:rsidR="00A534E3" w:rsidRDefault="006C7442" w:rsidP="006C7442">
      <w:pPr>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t>Although</w:t>
      </w:r>
      <w:r w:rsidR="00705629">
        <w:rPr>
          <w:rFonts w:ascii="Times New Roman" w:hAnsi="Times New Roman" w:cs="Times New Roman"/>
          <w:sz w:val="24"/>
          <w:szCs w:val="24"/>
        </w:rPr>
        <w:t xml:space="preserve"> my first suggestion, the</w:t>
      </w:r>
      <w:r w:rsidR="00862ED1">
        <w:rPr>
          <w:rFonts w:ascii="Times New Roman" w:hAnsi="Times New Roman" w:cs="Times New Roman"/>
          <w:sz w:val="24"/>
          <w:szCs w:val="24"/>
        </w:rPr>
        <w:t xml:space="preserve"> Nightingale-Brown house</w:t>
      </w:r>
      <w:r w:rsidR="00705629">
        <w:rPr>
          <w:rFonts w:ascii="Times New Roman" w:hAnsi="Times New Roman" w:cs="Times New Roman"/>
          <w:sz w:val="24"/>
          <w:szCs w:val="24"/>
        </w:rPr>
        <w:t>,</w:t>
      </w:r>
      <w:r w:rsidR="00862ED1">
        <w:rPr>
          <w:rFonts w:ascii="Times New Roman" w:hAnsi="Times New Roman" w:cs="Times New Roman"/>
          <w:sz w:val="24"/>
          <w:szCs w:val="24"/>
        </w:rPr>
        <w:t xml:space="preserve"> is undoubtedly a very important part of the Brown family history as well as the </w:t>
      </w:r>
      <w:r w:rsidR="00705629">
        <w:rPr>
          <w:rFonts w:ascii="Times New Roman" w:hAnsi="Times New Roman" w:cs="Times New Roman"/>
          <w:sz w:val="24"/>
          <w:szCs w:val="24"/>
        </w:rPr>
        <w:t>city of Providence</w:t>
      </w:r>
      <w:r>
        <w:rPr>
          <w:rFonts w:ascii="Times New Roman" w:hAnsi="Times New Roman" w:cs="Times New Roman"/>
          <w:sz w:val="24"/>
          <w:szCs w:val="24"/>
        </w:rPr>
        <w:t xml:space="preserve">, I reconsidered and changed the location of my site report after reviewing a certain passage from </w:t>
      </w:r>
      <w:proofErr w:type="spellStart"/>
      <w:r>
        <w:rPr>
          <w:rFonts w:ascii="Times New Roman" w:hAnsi="Times New Roman" w:cs="Times New Roman"/>
          <w:sz w:val="24"/>
          <w:szCs w:val="24"/>
        </w:rPr>
        <w:t>Deetz’s</w:t>
      </w:r>
      <w:proofErr w:type="spellEnd"/>
      <w:r>
        <w:rPr>
          <w:rFonts w:ascii="Times New Roman" w:hAnsi="Times New Roman" w:cs="Times New Roman"/>
          <w:sz w:val="24"/>
          <w:szCs w:val="24"/>
        </w:rPr>
        <w:t xml:space="preserve"> </w:t>
      </w:r>
      <w:r>
        <w:rPr>
          <w:rFonts w:ascii="Times New Roman" w:hAnsi="Times New Roman" w:cs="Times New Roman"/>
          <w:i/>
          <w:sz w:val="24"/>
          <w:szCs w:val="24"/>
        </w:rPr>
        <w:t>In Small Things Forgotten</w:t>
      </w:r>
      <w:r>
        <w:rPr>
          <w:rFonts w:ascii="Times New Roman" w:hAnsi="Times New Roman" w:cs="Times New Roman"/>
          <w:sz w:val="24"/>
          <w:szCs w:val="24"/>
        </w:rPr>
        <w:t>. The passage considers that historical archaeology is usually focused on important figures in history. While this can be very interesting and helpful in learning about the lives of these people, it “make[s]</w:t>
      </w:r>
      <w:r>
        <w:rPr>
          <w:rFonts w:ascii="Times New Roman" w:hAnsi="Times New Roman" w:cs="Times New Roman"/>
          <w:sz w:val="24"/>
          <w:szCs w:val="24"/>
        </w:rPr>
        <w:t xml:space="preserve"> questions of general cultural significance secondary</w:t>
      </w:r>
      <w:r>
        <w:rPr>
          <w:rFonts w:ascii="Times New Roman" w:hAnsi="Times New Roman" w:cs="Times New Roman"/>
          <w:sz w:val="24"/>
          <w:szCs w:val="24"/>
        </w:rPr>
        <w:t>”, and “</w:t>
      </w:r>
      <w:r>
        <w:rPr>
          <w:rFonts w:ascii="Times New Roman" w:hAnsi="Times New Roman" w:cs="Times New Roman"/>
          <w:sz w:val="24"/>
          <w:szCs w:val="24"/>
        </w:rPr>
        <w:t>if we were to depend only on such data for our interpretation of the American past, the picture would be decidedly skewed in the direction of greater affluence and status</w:t>
      </w:r>
      <w:r>
        <w:rPr>
          <w:rFonts w:ascii="Times New Roman" w:hAnsi="Times New Roman" w:cs="Times New Roman"/>
          <w:sz w:val="24"/>
          <w:szCs w:val="24"/>
        </w:rPr>
        <w:t>” (</w:t>
      </w:r>
      <w:proofErr w:type="spellStart"/>
      <w:r>
        <w:rPr>
          <w:rFonts w:ascii="Times New Roman" w:hAnsi="Times New Roman" w:cs="Times New Roman"/>
          <w:sz w:val="24"/>
          <w:szCs w:val="24"/>
        </w:rPr>
        <w:t>Deetz</w:t>
      </w:r>
      <w:proofErr w:type="spellEnd"/>
      <w:r>
        <w:rPr>
          <w:rFonts w:ascii="Times New Roman" w:hAnsi="Times New Roman" w:cs="Times New Roman"/>
          <w:sz w:val="24"/>
          <w:szCs w:val="24"/>
        </w:rPr>
        <w:t>, 41).</w:t>
      </w:r>
      <w:r w:rsidR="00705629">
        <w:rPr>
          <w:rFonts w:ascii="Times New Roman" w:hAnsi="Times New Roman" w:cs="Times New Roman"/>
          <w:sz w:val="24"/>
          <w:szCs w:val="24"/>
        </w:rPr>
        <w:t xml:space="preserve"> Also considering that the past few years</w:t>
      </w:r>
      <w:r>
        <w:rPr>
          <w:rFonts w:ascii="Times New Roman" w:hAnsi="Times New Roman" w:cs="Times New Roman"/>
          <w:sz w:val="24"/>
          <w:szCs w:val="24"/>
        </w:rPr>
        <w:t xml:space="preserve"> of excavation</w:t>
      </w:r>
      <w:r w:rsidR="00705629">
        <w:rPr>
          <w:rFonts w:ascii="Times New Roman" w:hAnsi="Times New Roman" w:cs="Times New Roman"/>
          <w:sz w:val="24"/>
          <w:szCs w:val="24"/>
        </w:rPr>
        <w:t xml:space="preserve"> for this class</w:t>
      </w:r>
      <w:r>
        <w:rPr>
          <w:rFonts w:ascii="Times New Roman" w:hAnsi="Times New Roman" w:cs="Times New Roman"/>
          <w:sz w:val="24"/>
          <w:szCs w:val="24"/>
        </w:rPr>
        <w:t xml:space="preserve"> have been at the John Brown House, which gives a v</w:t>
      </w:r>
      <w:r w:rsidR="00705629">
        <w:rPr>
          <w:rFonts w:ascii="Times New Roman" w:hAnsi="Times New Roman" w:cs="Times New Roman"/>
          <w:sz w:val="24"/>
          <w:szCs w:val="24"/>
        </w:rPr>
        <w:t>iew of the elite society as well</w:t>
      </w:r>
      <w:r>
        <w:rPr>
          <w:rFonts w:ascii="Times New Roman" w:hAnsi="Times New Roman" w:cs="Times New Roman"/>
          <w:sz w:val="24"/>
          <w:szCs w:val="24"/>
        </w:rPr>
        <w:t xml:space="preserve">, I focused instead on Pembroke Field. This area is not quite as old as other areas of campus previously considered, especially </w:t>
      </w:r>
      <w:r w:rsidR="0057095A">
        <w:rPr>
          <w:rFonts w:ascii="Times New Roman" w:hAnsi="Times New Roman" w:cs="Times New Roman"/>
          <w:sz w:val="24"/>
          <w:szCs w:val="24"/>
        </w:rPr>
        <w:t xml:space="preserve">the quiet and main green areas, but </w:t>
      </w:r>
      <w:r w:rsidR="006E5531">
        <w:rPr>
          <w:rFonts w:ascii="Times New Roman" w:hAnsi="Times New Roman" w:cs="Times New Roman"/>
          <w:sz w:val="24"/>
          <w:szCs w:val="24"/>
        </w:rPr>
        <w:t>has a promising archaeology</w:t>
      </w:r>
      <w:r w:rsidR="007D1CEE">
        <w:rPr>
          <w:rFonts w:ascii="Times New Roman" w:hAnsi="Times New Roman" w:cs="Times New Roman"/>
          <w:sz w:val="24"/>
          <w:szCs w:val="24"/>
        </w:rPr>
        <w:t xml:space="preserve"> regarding the daily life of students and the University’s past relationships with College Hill residents.</w:t>
      </w:r>
    </w:p>
    <w:p w:rsidR="007D1CEE" w:rsidRDefault="007D1CEE" w:rsidP="006C7442">
      <w:pPr>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t>Pembroke Field is located at the north end of campus, by the athletic complexes</w:t>
      </w:r>
      <w:r w:rsidR="00705629">
        <w:rPr>
          <w:rFonts w:ascii="Times New Roman" w:hAnsi="Times New Roman" w:cs="Times New Roman"/>
          <w:sz w:val="24"/>
          <w:szCs w:val="24"/>
        </w:rPr>
        <w:t xml:space="preserve"> (see Image 1)</w:t>
      </w:r>
      <w:r>
        <w:rPr>
          <w:rFonts w:ascii="Times New Roman" w:hAnsi="Times New Roman" w:cs="Times New Roman"/>
          <w:sz w:val="24"/>
          <w:szCs w:val="24"/>
        </w:rPr>
        <w:t>. The field is bound by Brook and Hope Streets, running north and south, and Cushing and Meeting Streets, r</w:t>
      </w:r>
      <w:r w:rsidR="006E5531">
        <w:rPr>
          <w:rFonts w:ascii="Times New Roman" w:hAnsi="Times New Roman" w:cs="Times New Roman"/>
          <w:sz w:val="24"/>
          <w:szCs w:val="24"/>
        </w:rPr>
        <w:t xml:space="preserve">unning east and west. There is a fence bordering the area, except for entrances on Brook, Cushing, and Hope Streets. A paved walkway </w:t>
      </w:r>
      <w:r w:rsidR="003139F4">
        <w:rPr>
          <w:rFonts w:ascii="Times New Roman" w:hAnsi="Times New Roman" w:cs="Times New Roman"/>
          <w:sz w:val="24"/>
          <w:szCs w:val="24"/>
        </w:rPr>
        <w:t>bisects the field into unequal</w:t>
      </w:r>
      <w:r w:rsidR="006E5531">
        <w:rPr>
          <w:rFonts w:ascii="Times New Roman" w:hAnsi="Times New Roman" w:cs="Times New Roman"/>
          <w:sz w:val="24"/>
          <w:szCs w:val="24"/>
        </w:rPr>
        <w:t xml:space="preserve"> sections. The north section, bordered by Cushing, Brook, and Hope Streets, contains a building named Pembroke Field House in the far west side, as well as a volleyball court </w:t>
      </w:r>
      <w:r w:rsidR="003139F4">
        <w:rPr>
          <w:rFonts w:ascii="Times New Roman" w:hAnsi="Times New Roman" w:cs="Times New Roman"/>
          <w:sz w:val="24"/>
          <w:szCs w:val="24"/>
        </w:rPr>
        <w:t xml:space="preserve">which accounts </w:t>
      </w:r>
      <w:r w:rsidR="003139F4">
        <w:rPr>
          <w:rFonts w:ascii="Times New Roman" w:hAnsi="Times New Roman" w:cs="Times New Roman"/>
          <w:sz w:val="24"/>
          <w:szCs w:val="24"/>
        </w:rPr>
        <w:lastRenderedPageBreak/>
        <w:t>for most of the north section</w:t>
      </w:r>
      <w:r w:rsidR="006E5531">
        <w:rPr>
          <w:rFonts w:ascii="Times New Roman" w:hAnsi="Times New Roman" w:cs="Times New Roman"/>
          <w:sz w:val="24"/>
          <w:szCs w:val="24"/>
        </w:rPr>
        <w:t xml:space="preserve">. The south section, bordered by Meeting, Brook, and Hope Streets, is free of construction and landscaping other than a few trees. </w:t>
      </w:r>
      <w:r w:rsidR="003139F4">
        <w:rPr>
          <w:rFonts w:ascii="Times New Roman" w:hAnsi="Times New Roman" w:cs="Times New Roman"/>
          <w:sz w:val="24"/>
          <w:szCs w:val="24"/>
        </w:rPr>
        <w:t>While a seemingly overlooked section of campus now, it has an interesting history, and still is the site of customs for the Brown and wider community.</w:t>
      </w:r>
    </w:p>
    <w:p w:rsidR="003139F4" w:rsidRDefault="003139F4" w:rsidP="00435409">
      <w:pPr>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191968">
        <w:rPr>
          <w:rFonts w:ascii="Times New Roman" w:hAnsi="Times New Roman" w:cs="Times New Roman"/>
          <w:sz w:val="24"/>
          <w:szCs w:val="24"/>
        </w:rPr>
        <w:t xml:space="preserve">As reported by the Encyclopedia </w:t>
      </w:r>
      <w:proofErr w:type="spellStart"/>
      <w:r w:rsidR="00191968">
        <w:rPr>
          <w:rFonts w:ascii="Times New Roman" w:hAnsi="Times New Roman" w:cs="Times New Roman"/>
          <w:sz w:val="24"/>
          <w:szCs w:val="24"/>
        </w:rPr>
        <w:t>Brunoniana</w:t>
      </w:r>
      <w:proofErr w:type="spellEnd"/>
      <w:r w:rsidR="00191968">
        <w:rPr>
          <w:rFonts w:ascii="Times New Roman" w:hAnsi="Times New Roman" w:cs="Times New Roman"/>
          <w:sz w:val="24"/>
          <w:szCs w:val="24"/>
        </w:rPr>
        <w:t xml:space="preserve">, Pembroke Field was formerly known as an estate owned by the brothers Charles T. Aldrich and Henry L. Aldrich, graduates of 1875 and 1876, respectively. </w:t>
      </w:r>
      <w:r w:rsidR="00602DA1">
        <w:rPr>
          <w:rFonts w:ascii="Times New Roman" w:hAnsi="Times New Roman" w:cs="Times New Roman"/>
          <w:sz w:val="24"/>
          <w:szCs w:val="24"/>
        </w:rPr>
        <w:t xml:space="preserve">The estate was left to the University after the brothers’ deaths, which were within four days of each other in 1931. </w:t>
      </w:r>
      <w:r w:rsidR="00705629">
        <w:rPr>
          <w:rFonts w:ascii="Times New Roman" w:hAnsi="Times New Roman" w:cs="Times New Roman"/>
          <w:sz w:val="24"/>
          <w:szCs w:val="24"/>
        </w:rPr>
        <w:t>They</w:t>
      </w:r>
      <w:r w:rsidR="00982238">
        <w:rPr>
          <w:rFonts w:ascii="Times New Roman" w:hAnsi="Times New Roman" w:cs="Times New Roman"/>
          <w:sz w:val="24"/>
          <w:szCs w:val="24"/>
        </w:rPr>
        <w:t xml:space="preserve"> were </w:t>
      </w:r>
      <w:r w:rsidR="00982238">
        <w:rPr>
          <w:rFonts w:ascii="Times New Roman" w:hAnsi="Times New Roman" w:cs="Times New Roman"/>
          <w:sz w:val="24"/>
          <w:szCs w:val="24"/>
        </w:rPr>
        <w:t xml:space="preserve">sons of the founder of a textile mill, and grew up to be </w:t>
      </w:r>
      <w:r w:rsidR="00982238">
        <w:rPr>
          <w:rFonts w:ascii="Times New Roman" w:hAnsi="Times New Roman" w:cs="Times New Roman"/>
          <w:sz w:val="24"/>
          <w:szCs w:val="24"/>
        </w:rPr>
        <w:t>philanthropis</w:t>
      </w:r>
      <w:r w:rsidR="00982238">
        <w:rPr>
          <w:rFonts w:ascii="Times New Roman" w:hAnsi="Times New Roman" w:cs="Times New Roman"/>
          <w:sz w:val="24"/>
          <w:szCs w:val="24"/>
        </w:rPr>
        <w:t>ts: they</w:t>
      </w:r>
      <w:r w:rsidR="00982238">
        <w:rPr>
          <w:rFonts w:ascii="Times New Roman" w:hAnsi="Times New Roman" w:cs="Times New Roman"/>
          <w:sz w:val="24"/>
          <w:szCs w:val="24"/>
        </w:rPr>
        <w:t xml:space="preserve"> were especially generous to Brown. </w:t>
      </w:r>
      <w:r w:rsidR="00602DA1">
        <w:rPr>
          <w:rFonts w:ascii="Times New Roman" w:hAnsi="Times New Roman" w:cs="Times New Roman"/>
          <w:sz w:val="24"/>
          <w:szCs w:val="24"/>
        </w:rPr>
        <w:t xml:space="preserve">According to Charles’ obituary in the </w:t>
      </w:r>
      <w:r w:rsidR="00602DA1">
        <w:rPr>
          <w:rFonts w:ascii="Times New Roman" w:hAnsi="Times New Roman" w:cs="Times New Roman"/>
          <w:i/>
          <w:sz w:val="24"/>
          <w:szCs w:val="24"/>
        </w:rPr>
        <w:t>New York Times</w:t>
      </w:r>
      <w:r w:rsidR="00602DA1">
        <w:rPr>
          <w:rFonts w:ascii="Times New Roman" w:hAnsi="Times New Roman" w:cs="Times New Roman"/>
          <w:sz w:val="24"/>
          <w:szCs w:val="24"/>
        </w:rPr>
        <w:t xml:space="preserve">, they were both involved in </w:t>
      </w:r>
      <w:r w:rsidR="003A2823">
        <w:rPr>
          <w:rFonts w:ascii="Times New Roman" w:hAnsi="Times New Roman" w:cs="Times New Roman"/>
          <w:sz w:val="24"/>
          <w:szCs w:val="24"/>
        </w:rPr>
        <w:t xml:space="preserve">athletics at Brown, and “in 1924 they gave to Brown University $100,000 to help complete the college stadium, known as Aldrich Field”. </w:t>
      </w:r>
      <w:r w:rsidR="00435409">
        <w:rPr>
          <w:rFonts w:ascii="Times New Roman" w:hAnsi="Times New Roman" w:cs="Times New Roman"/>
          <w:sz w:val="24"/>
          <w:szCs w:val="24"/>
        </w:rPr>
        <w:t xml:space="preserve">A short history of the land was described in </w:t>
      </w:r>
      <w:r w:rsidR="00435409">
        <w:rPr>
          <w:rFonts w:ascii="Times New Roman" w:hAnsi="Times New Roman" w:cs="Times New Roman"/>
          <w:i/>
          <w:sz w:val="24"/>
          <w:szCs w:val="24"/>
        </w:rPr>
        <w:t>Plats of Brown University and Their History: 1770-</w:t>
      </w:r>
      <w:r w:rsidR="00435409" w:rsidRPr="00435409">
        <w:rPr>
          <w:rFonts w:ascii="Times New Roman" w:hAnsi="Times New Roman" w:cs="Times New Roman"/>
          <w:i/>
          <w:sz w:val="24"/>
          <w:szCs w:val="24"/>
        </w:rPr>
        <w:t>1938</w:t>
      </w:r>
      <w:r w:rsidR="00435409">
        <w:rPr>
          <w:rFonts w:ascii="Times New Roman" w:hAnsi="Times New Roman" w:cs="Times New Roman"/>
          <w:i/>
          <w:sz w:val="24"/>
          <w:szCs w:val="24"/>
        </w:rPr>
        <w:t xml:space="preserve"> </w:t>
      </w:r>
      <w:r w:rsidR="00435409">
        <w:rPr>
          <w:rFonts w:ascii="Times New Roman" w:hAnsi="Times New Roman" w:cs="Times New Roman"/>
          <w:sz w:val="24"/>
          <w:szCs w:val="24"/>
        </w:rPr>
        <w:t>by Edwin A. Burlingame</w:t>
      </w:r>
      <w:r w:rsidR="00435409" w:rsidRPr="00435409">
        <w:rPr>
          <w:rFonts w:ascii="Times New Roman" w:hAnsi="Times New Roman" w:cs="Times New Roman"/>
          <w:sz w:val="24"/>
          <w:szCs w:val="24"/>
        </w:rPr>
        <w:t>:</w:t>
      </w:r>
      <w:r w:rsidR="00435409">
        <w:rPr>
          <w:rFonts w:ascii="Times New Roman" w:hAnsi="Times New Roman" w:cs="Times New Roman"/>
          <w:i/>
          <w:sz w:val="24"/>
          <w:szCs w:val="24"/>
        </w:rPr>
        <w:t xml:space="preserve"> </w:t>
      </w:r>
      <w:r w:rsidR="003A2823" w:rsidRPr="00435409">
        <w:rPr>
          <w:rFonts w:ascii="Times New Roman" w:hAnsi="Times New Roman" w:cs="Times New Roman"/>
          <w:sz w:val="24"/>
          <w:szCs w:val="24"/>
        </w:rPr>
        <w:t xml:space="preserve">The </w:t>
      </w:r>
      <w:r w:rsidR="003A2823">
        <w:rPr>
          <w:rFonts w:ascii="Times New Roman" w:hAnsi="Times New Roman" w:cs="Times New Roman"/>
          <w:sz w:val="24"/>
          <w:szCs w:val="24"/>
        </w:rPr>
        <w:t>brothers left the estate now known as Pembroke Field to the University with the intention that it might ser</w:t>
      </w:r>
      <w:r w:rsidR="00435409">
        <w:rPr>
          <w:rFonts w:ascii="Times New Roman" w:hAnsi="Times New Roman" w:cs="Times New Roman"/>
          <w:sz w:val="24"/>
          <w:szCs w:val="24"/>
        </w:rPr>
        <w:t>ve Pembroke College</w:t>
      </w:r>
      <w:r w:rsidR="003A2823">
        <w:rPr>
          <w:rFonts w:ascii="Times New Roman" w:hAnsi="Times New Roman" w:cs="Times New Roman"/>
          <w:sz w:val="24"/>
          <w:szCs w:val="24"/>
        </w:rPr>
        <w:t xml:space="preserve">. </w:t>
      </w:r>
      <w:r w:rsidR="00982238">
        <w:rPr>
          <w:rFonts w:ascii="Times New Roman" w:hAnsi="Times New Roman" w:cs="Times New Roman"/>
          <w:sz w:val="24"/>
          <w:szCs w:val="24"/>
        </w:rPr>
        <w:t xml:space="preserve">The history of this land in the context of the Aldrich family is interesting archaeologically due to some renovations after the donation: “the house [of the </w:t>
      </w:r>
      <w:proofErr w:type="spellStart"/>
      <w:r w:rsidR="00982238">
        <w:rPr>
          <w:rFonts w:ascii="Times New Roman" w:hAnsi="Times New Roman" w:cs="Times New Roman"/>
          <w:sz w:val="24"/>
          <w:szCs w:val="24"/>
        </w:rPr>
        <w:t>Aldrichs</w:t>
      </w:r>
      <w:proofErr w:type="spellEnd"/>
      <w:r w:rsidR="00982238">
        <w:rPr>
          <w:rFonts w:ascii="Times New Roman" w:hAnsi="Times New Roman" w:cs="Times New Roman"/>
          <w:sz w:val="24"/>
          <w:szCs w:val="24"/>
        </w:rPr>
        <w:t xml:space="preserve">] was torn down; the land was graded for use as a playing field with the borders landscaped; and the old brick barn has been transformed into a field house for the use </w:t>
      </w:r>
      <w:r w:rsidR="00435409">
        <w:rPr>
          <w:rFonts w:ascii="Times New Roman" w:hAnsi="Times New Roman" w:cs="Times New Roman"/>
          <w:sz w:val="24"/>
          <w:szCs w:val="24"/>
        </w:rPr>
        <w:t xml:space="preserve">of Pembroke College” (Burlingame). </w:t>
      </w:r>
      <w:r w:rsidR="003A2823">
        <w:rPr>
          <w:rFonts w:ascii="Times New Roman" w:hAnsi="Times New Roman" w:cs="Times New Roman"/>
          <w:sz w:val="24"/>
          <w:szCs w:val="24"/>
        </w:rPr>
        <w:t>The dedication of Pembroke Field took place on October</w:t>
      </w:r>
      <w:r w:rsidR="00435409">
        <w:rPr>
          <w:rFonts w:ascii="Times New Roman" w:hAnsi="Times New Roman" w:cs="Times New Roman"/>
          <w:sz w:val="24"/>
          <w:szCs w:val="24"/>
        </w:rPr>
        <w:t xml:space="preserve"> 24, 1936.</w:t>
      </w:r>
    </w:p>
    <w:p w:rsidR="00435409" w:rsidRDefault="00435409" w:rsidP="00435409">
      <w:pPr>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Survey and possible excavations of Pembroke Field may lead to significant finds about the past use of the field as a family estate; focusing in particular on the site of the leveled house and the renovated barn. The site of the former Aldrich house is more difficult to locate than the barn, since the barn is what is now known as Pembroke Field House. It was dedicated on January </w:t>
      </w:r>
      <w:r>
        <w:rPr>
          <w:rFonts w:ascii="Times New Roman" w:hAnsi="Times New Roman" w:cs="Times New Roman"/>
          <w:sz w:val="24"/>
          <w:szCs w:val="24"/>
        </w:rPr>
        <w:lastRenderedPageBreak/>
        <w:t xml:space="preserve">14, 1938, and included renovations such as window replacement and the conversion of the second floor into a lounge (Mitchell). </w:t>
      </w:r>
      <w:r w:rsidR="00AB4E8A">
        <w:rPr>
          <w:rFonts w:ascii="Times New Roman" w:hAnsi="Times New Roman" w:cs="Times New Roman"/>
          <w:sz w:val="24"/>
          <w:szCs w:val="24"/>
        </w:rPr>
        <w:t>Although there is much concrete surrounding Pembroke Field House, a potential site for an excavation is nearby the building. There is some green space around the south/southeast corner of the house</w:t>
      </w:r>
      <w:r w:rsidR="00C81382">
        <w:rPr>
          <w:rFonts w:ascii="Times New Roman" w:hAnsi="Times New Roman" w:cs="Times New Roman"/>
          <w:sz w:val="24"/>
          <w:szCs w:val="24"/>
        </w:rPr>
        <w:t xml:space="preserve"> as well as to its east (see Images 1-4);</w:t>
      </w:r>
      <w:r w:rsidR="00AB4E8A">
        <w:rPr>
          <w:rFonts w:ascii="Times New Roman" w:hAnsi="Times New Roman" w:cs="Times New Roman"/>
          <w:sz w:val="24"/>
          <w:szCs w:val="24"/>
        </w:rPr>
        <w:t xml:space="preserve"> this would be an interesting site because the excavation could provide information about the past farm culture of the area. Soil analysis (although we would not have time for a chemical analysis) and potential finds relating to farming could be very informative. If it is possible to locate the past site of the Aldrich house, an excavation site could also give great insight into the lives of the past residents. The obituary lists the Aldrich home as 230 Hope Street, which, according to Google Maps and Google Earth, is located at the intersection of Cushing and Hope Streets (and is consequently paved over), but a more in-depth investigation should be done to confirm this. Construction plans, blueprints, and maps from the era should be consulted to pinpoint the exact location. In the archives, there should be a construction plan mapping out when, where, and how the Aldrich house was torn down. In addition, the reports published by the </w:t>
      </w:r>
      <w:r w:rsidR="00C45F1D">
        <w:rPr>
          <w:rFonts w:ascii="Times New Roman" w:hAnsi="Times New Roman" w:cs="Times New Roman"/>
          <w:sz w:val="24"/>
          <w:szCs w:val="24"/>
        </w:rPr>
        <w:t>University President during this era</w:t>
      </w:r>
      <w:r w:rsidR="00AB4E8A">
        <w:rPr>
          <w:rFonts w:ascii="Times New Roman" w:hAnsi="Times New Roman" w:cs="Times New Roman"/>
          <w:sz w:val="24"/>
          <w:szCs w:val="24"/>
        </w:rPr>
        <w:t>, Clarence Augustus Barbour</w:t>
      </w:r>
      <w:r w:rsidR="00C45F1D">
        <w:rPr>
          <w:rFonts w:ascii="Times New Roman" w:hAnsi="Times New Roman" w:cs="Times New Roman"/>
          <w:sz w:val="24"/>
          <w:szCs w:val="24"/>
        </w:rPr>
        <w:t xml:space="preserve"> (who served as President from 1929 to September 1926, just before the dedication of Pembroke Field) could be consulted to see if he recorded anything about the</w:t>
      </w:r>
      <w:r w:rsidR="00705629">
        <w:rPr>
          <w:rFonts w:ascii="Times New Roman" w:hAnsi="Times New Roman" w:cs="Times New Roman"/>
          <w:sz w:val="24"/>
          <w:szCs w:val="24"/>
        </w:rPr>
        <w:t xml:space="preserve"> construction. One source to be consulted</w:t>
      </w:r>
      <w:r w:rsidR="00C45F1D">
        <w:rPr>
          <w:rFonts w:ascii="Times New Roman" w:hAnsi="Times New Roman" w:cs="Times New Roman"/>
          <w:sz w:val="24"/>
          <w:szCs w:val="24"/>
        </w:rPr>
        <w:t xml:space="preserve"> would be </w:t>
      </w:r>
      <w:r w:rsidR="00C45F1D">
        <w:rPr>
          <w:rFonts w:ascii="Times New Roman" w:hAnsi="Times New Roman" w:cs="Times New Roman"/>
          <w:i/>
          <w:sz w:val="24"/>
          <w:szCs w:val="24"/>
        </w:rPr>
        <w:t>Clarence A. Barbour Papers, 1923-1937</w:t>
      </w:r>
      <w:r w:rsidR="00C45F1D">
        <w:rPr>
          <w:rFonts w:ascii="Times New Roman" w:hAnsi="Times New Roman" w:cs="Times New Roman"/>
          <w:sz w:val="24"/>
          <w:szCs w:val="24"/>
        </w:rPr>
        <w:t xml:space="preserve">, located in the Hay Archives. </w:t>
      </w:r>
    </w:p>
    <w:p w:rsidR="00C45F1D" w:rsidRDefault="00C45F1D" w:rsidP="00435409">
      <w:pPr>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While investigating the past of the Aldrich family is interestingly historically, this again relates back to the issue of studying only the most affluent people of the past. However, since the transformation of the Aldrich estate to Pembroke Field, the space has been an important part of University and can provide archaeological history of Brown students. For example, since the field was donated with the intention of providing space for Pembroke College, the area has been </w:t>
      </w:r>
      <w:r w:rsidR="00705629">
        <w:rPr>
          <w:rFonts w:ascii="Times New Roman" w:hAnsi="Times New Roman" w:cs="Times New Roman"/>
          <w:sz w:val="24"/>
          <w:szCs w:val="24"/>
        </w:rPr>
        <w:lastRenderedPageBreak/>
        <w:t>especially important for women</w:t>
      </w:r>
      <w:r>
        <w:rPr>
          <w:rFonts w:ascii="Times New Roman" w:hAnsi="Times New Roman" w:cs="Times New Roman"/>
          <w:sz w:val="24"/>
          <w:szCs w:val="24"/>
        </w:rPr>
        <w:t xml:space="preserve">. In keeping with the relationship of the </w:t>
      </w:r>
      <w:proofErr w:type="spellStart"/>
      <w:r>
        <w:rPr>
          <w:rFonts w:ascii="Times New Roman" w:hAnsi="Times New Roman" w:cs="Times New Roman"/>
          <w:sz w:val="24"/>
          <w:szCs w:val="24"/>
        </w:rPr>
        <w:t>Aldrichs</w:t>
      </w:r>
      <w:proofErr w:type="spellEnd"/>
      <w:r>
        <w:rPr>
          <w:rFonts w:ascii="Times New Roman" w:hAnsi="Times New Roman" w:cs="Times New Roman"/>
          <w:sz w:val="24"/>
          <w:szCs w:val="24"/>
        </w:rPr>
        <w:t xml:space="preserve"> and athletics</w:t>
      </w:r>
      <w:r w:rsidR="00C81382">
        <w:rPr>
          <w:rFonts w:ascii="Times New Roman" w:hAnsi="Times New Roman" w:cs="Times New Roman"/>
          <w:sz w:val="24"/>
          <w:szCs w:val="24"/>
        </w:rPr>
        <w:t xml:space="preserve">, “at the dedication athletes from Radcliffe College, Jackson College, and Wheaton College [all historically women’s colleges] joined Pembroke in games of hockey, deck tennis, soccer, and </w:t>
      </w:r>
      <w:proofErr w:type="spellStart"/>
      <w:r w:rsidR="00C81382">
        <w:rPr>
          <w:rFonts w:ascii="Times New Roman" w:hAnsi="Times New Roman" w:cs="Times New Roman"/>
          <w:sz w:val="24"/>
          <w:szCs w:val="24"/>
        </w:rPr>
        <w:t>fistball</w:t>
      </w:r>
      <w:proofErr w:type="spellEnd"/>
      <w:r w:rsidR="00C81382">
        <w:rPr>
          <w:rFonts w:ascii="Times New Roman" w:hAnsi="Times New Roman" w:cs="Times New Roman"/>
          <w:sz w:val="24"/>
          <w:szCs w:val="24"/>
        </w:rPr>
        <w:t>” (Mitchell). Investigating the role of this area within the former Pembroke College would be especially timely, since the John Hay Library recently had an exhibit entitled “120 Years of Women at Brown”</w:t>
      </w:r>
      <w:r w:rsidR="00FF6701">
        <w:rPr>
          <w:rFonts w:ascii="Times New Roman" w:hAnsi="Times New Roman" w:cs="Times New Roman"/>
          <w:sz w:val="24"/>
          <w:szCs w:val="24"/>
        </w:rPr>
        <w:t xml:space="preserve">. </w:t>
      </w:r>
    </w:p>
    <w:p w:rsidR="00FF6701" w:rsidRDefault="00FF6701" w:rsidP="00435409">
      <w:pPr>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t>Today, Pembroke Field is still an area used by students. It would be interesting to investigate the site not just in the historical contexts of the Aldrich family and the Pembroke era, but also the modern and present-day activities of students and community members. It is still an area of athletic activity: in addition to the volleyball court, clubs such as Ultimate Frisbee use the space for practices. While the Pembroke Field House can be studied as a renovated barn, it can also be studied as a modern meet</w:t>
      </w:r>
      <w:r w:rsidR="00994020">
        <w:rPr>
          <w:rFonts w:ascii="Times New Roman" w:hAnsi="Times New Roman" w:cs="Times New Roman"/>
          <w:sz w:val="24"/>
          <w:szCs w:val="24"/>
        </w:rPr>
        <w:t>ing place, since it is still used</w:t>
      </w:r>
      <w:r>
        <w:rPr>
          <w:rFonts w:ascii="Times New Roman" w:hAnsi="Times New Roman" w:cs="Times New Roman"/>
          <w:sz w:val="24"/>
          <w:szCs w:val="24"/>
        </w:rPr>
        <w:t xml:space="preserve"> by the Brown Club of Rhode I</w:t>
      </w:r>
      <w:r w:rsidR="00994020">
        <w:rPr>
          <w:rFonts w:ascii="Times New Roman" w:hAnsi="Times New Roman" w:cs="Times New Roman"/>
          <w:sz w:val="24"/>
          <w:szCs w:val="24"/>
        </w:rPr>
        <w:t>sland, which</w:t>
      </w:r>
      <w:r>
        <w:rPr>
          <w:rFonts w:ascii="Times New Roman" w:hAnsi="Times New Roman" w:cs="Times New Roman"/>
          <w:sz w:val="24"/>
          <w:szCs w:val="24"/>
        </w:rPr>
        <w:t xml:space="preserve"> converted the building to an alumni center in 1971 (Mitchell). </w:t>
      </w:r>
      <w:r w:rsidR="00994020">
        <w:rPr>
          <w:rFonts w:ascii="Times New Roman" w:hAnsi="Times New Roman" w:cs="Times New Roman"/>
          <w:sz w:val="24"/>
          <w:szCs w:val="24"/>
        </w:rPr>
        <w:t xml:space="preserve">Pembroke Field has also served as the site for the Spring Thaw </w:t>
      </w:r>
      <w:proofErr w:type="spellStart"/>
      <w:proofErr w:type="gramStart"/>
      <w:r w:rsidR="00994020">
        <w:rPr>
          <w:rFonts w:ascii="Times New Roman" w:hAnsi="Times New Roman" w:cs="Times New Roman"/>
          <w:sz w:val="24"/>
          <w:szCs w:val="24"/>
        </w:rPr>
        <w:t>Pow</w:t>
      </w:r>
      <w:proofErr w:type="spellEnd"/>
      <w:proofErr w:type="gramEnd"/>
      <w:r w:rsidR="00994020">
        <w:rPr>
          <w:rFonts w:ascii="Times New Roman" w:hAnsi="Times New Roman" w:cs="Times New Roman"/>
          <w:sz w:val="24"/>
          <w:szCs w:val="24"/>
        </w:rPr>
        <w:t xml:space="preserve"> Wow (which began in 2002 and was originally held in Sayles Hall) sponsored by Brown University’s Native American Student Services. </w:t>
      </w:r>
    </w:p>
    <w:p w:rsidR="00A534E3" w:rsidRPr="00A534E3" w:rsidRDefault="00994020" w:rsidP="008666D8">
      <w:pPr>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60738">
        <w:rPr>
          <w:rFonts w:ascii="Times New Roman" w:hAnsi="Times New Roman" w:cs="Times New Roman"/>
          <w:sz w:val="24"/>
          <w:szCs w:val="24"/>
        </w:rPr>
        <w:t>Whi</w:t>
      </w:r>
      <w:r w:rsidR="00A60738">
        <w:rPr>
          <w:rFonts w:ascii="Times New Roman" w:hAnsi="Times New Roman" w:cs="Times New Roman"/>
          <w:sz w:val="24"/>
          <w:szCs w:val="24"/>
        </w:rPr>
        <w:t>le Pembroke Field</w:t>
      </w:r>
      <w:r w:rsidR="00A60738">
        <w:rPr>
          <w:rFonts w:ascii="Times New Roman" w:hAnsi="Times New Roman" w:cs="Times New Roman"/>
          <w:sz w:val="24"/>
          <w:szCs w:val="24"/>
        </w:rPr>
        <w:t xml:space="preserve"> is a bit farther from the main campus, the isolation could be advantageous in minimizing disturbances of the excavation sites, since it does receive less traffic than places such as the middle of the Main Green. </w:t>
      </w:r>
      <w:r w:rsidR="00A60738">
        <w:rPr>
          <w:rFonts w:ascii="Times New Roman" w:hAnsi="Times New Roman" w:cs="Times New Roman"/>
          <w:sz w:val="24"/>
          <w:szCs w:val="24"/>
        </w:rPr>
        <w:t xml:space="preserve">Further research on the area could yield significant results, since </w:t>
      </w:r>
      <w:r>
        <w:rPr>
          <w:rFonts w:ascii="Times New Roman" w:hAnsi="Times New Roman" w:cs="Times New Roman"/>
          <w:sz w:val="24"/>
          <w:szCs w:val="24"/>
        </w:rPr>
        <w:t>Pembroke Field has significant historical value as well as modern use. It can be approac</w:t>
      </w:r>
      <w:r w:rsidR="00A60738">
        <w:rPr>
          <w:rFonts w:ascii="Times New Roman" w:hAnsi="Times New Roman" w:cs="Times New Roman"/>
          <w:sz w:val="24"/>
          <w:szCs w:val="24"/>
        </w:rPr>
        <w:t xml:space="preserve">hed as an investigation of a part of an estate, a part of a past college, and a part of an extant university; and it would be very interesting to combine these three approaches to broadly look at how the space has transformed over time. From the ownership of the space by Brown alumni Charles and Henry Aldrich, to the modern Spring Thaw </w:t>
      </w:r>
      <w:proofErr w:type="spellStart"/>
      <w:proofErr w:type="gramStart"/>
      <w:r w:rsidR="00A60738">
        <w:rPr>
          <w:rFonts w:ascii="Times New Roman" w:hAnsi="Times New Roman" w:cs="Times New Roman"/>
          <w:sz w:val="24"/>
          <w:szCs w:val="24"/>
        </w:rPr>
        <w:t>Pow</w:t>
      </w:r>
      <w:proofErr w:type="spellEnd"/>
      <w:proofErr w:type="gramEnd"/>
      <w:r w:rsidR="00A60738">
        <w:rPr>
          <w:rFonts w:ascii="Times New Roman" w:hAnsi="Times New Roman" w:cs="Times New Roman"/>
          <w:sz w:val="24"/>
          <w:szCs w:val="24"/>
        </w:rPr>
        <w:t xml:space="preserve"> Wow, Pembroke </w:t>
      </w:r>
      <w:r w:rsidR="00A60738">
        <w:rPr>
          <w:rFonts w:ascii="Times New Roman" w:hAnsi="Times New Roman" w:cs="Times New Roman"/>
          <w:sz w:val="24"/>
          <w:szCs w:val="24"/>
        </w:rPr>
        <w:lastRenderedPageBreak/>
        <w:t xml:space="preserve">Field has served as a medium between the University, its students, and the surrounding community. </w:t>
      </w:r>
    </w:p>
    <w:p w:rsidR="00A534E3" w:rsidRPr="00A534E3" w:rsidRDefault="00A534E3" w:rsidP="00A534E3">
      <w:pPr>
        <w:rPr>
          <w:rFonts w:ascii="Times New Roman" w:hAnsi="Times New Roman" w:cs="Times New Roman"/>
          <w:sz w:val="24"/>
          <w:szCs w:val="24"/>
        </w:rPr>
      </w:pPr>
    </w:p>
    <w:p w:rsidR="00A534E3" w:rsidRDefault="00A5318E" w:rsidP="00A5318E">
      <w:pPr>
        <w:jc w:val="center"/>
        <w:rPr>
          <w:rFonts w:ascii="Times New Roman" w:hAnsi="Times New Roman" w:cs="Times New Roman"/>
          <w:sz w:val="24"/>
          <w:szCs w:val="24"/>
          <w:u w:val="single"/>
        </w:rPr>
      </w:pPr>
      <w:r>
        <w:rPr>
          <w:rFonts w:ascii="Times New Roman" w:hAnsi="Times New Roman" w:cs="Times New Roman"/>
          <w:sz w:val="24"/>
          <w:szCs w:val="24"/>
          <w:u w:val="single"/>
        </w:rPr>
        <w:t>Images</w:t>
      </w:r>
    </w:p>
    <w:p w:rsidR="00DF503A" w:rsidRPr="00DF503A" w:rsidRDefault="00440D21" w:rsidP="00DF503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6668F38" wp14:editId="37913FB8">
                <wp:simplePos x="0" y="0"/>
                <wp:positionH relativeFrom="column">
                  <wp:posOffset>1905000</wp:posOffset>
                </wp:positionH>
                <wp:positionV relativeFrom="paragraph">
                  <wp:posOffset>2447290</wp:posOffset>
                </wp:positionV>
                <wp:extent cx="2286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12382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50pt;margin-top:192.7pt;width:18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" filled="f" strokecolor="#c00000"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3D415C8" wp14:editId="3A547DB0">
                <wp:simplePos x="0" y="0"/>
                <wp:positionH relativeFrom="column">
                  <wp:posOffset>2000250</wp:posOffset>
                </wp:positionH>
                <wp:positionV relativeFrom="paragraph">
                  <wp:posOffset>2094865</wp:posOffset>
                </wp:positionV>
                <wp:extent cx="190500" cy="95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57.5pt;margin-top:164.95pt;width:1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" filled="f" strokecolor="#c00000" strokeweight="2pt"/>
            </w:pict>
          </mc:Fallback>
        </mc:AlternateContent>
      </w:r>
      <w:r w:rsidR="00DF503A">
        <w:rPr>
          <w:rFonts w:ascii="Times New Roman" w:hAnsi="Times New Roman" w:cs="Times New Roman"/>
          <w:noProof/>
          <w:sz w:val="24"/>
          <w:szCs w:val="24"/>
        </w:rPr>
        <w:drawing>
          <wp:inline distT="0" distB="0" distL="0" distR="0">
            <wp:extent cx="5591175" cy="4409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mbroke Field Google Earth.jpg"/>
                    <pic:cNvPicPr/>
                  </pic:nvPicPr>
                  <pic:blipFill>
                    <a:blip r:embed="rId6">
                      <a:extLst>
                        <a:ext uri="{28A0092B-C50C-407E-A947-70E740481C1C}">
                          <a14:useLocalDpi xmlns:a14="http://schemas.microsoft.com/office/drawing/2010/main" val="0"/>
                        </a:ext>
                      </a:extLst>
                    </a:blip>
                    <a:stretch>
                      <a:fillRect/>
                    </a:stretch>
                  </pic:blipFill>
                  <pic:spPr>
                    <a:xfrm>
                      <a:off x="0" y="0"/>
                      <a:ext cx="5591933" cy="4409621"/>
                    </a:xfrm>
                    <a:prstGeom prst="rect">
                      <a:avLst/>
                    </a:prstGeom>
                  </pic:spPr>
                </pic:pic>
              </a:graphicData>
            </a:graphic>
          </wp:inline>
        </w:drawing>
      </w:r>
    </w:p>
    <w:p w:rsidR="00A534E3" w:rsidRPr="00A534E3" w:rsidRDefault="00A534E3" w:rsidP="00A534E3">
      <w:pPr>
        <w:rPr>
          <w:rFonts w:ascii="Times New Roman" w:hAnsi="Times New Roman" w:cs="Times New Roman"/>
          <w:sz w:val="24"/>
          <w:szCs w:val="24"/>
        </w:rPr>
      </w:pPr>
    </w:p>
    <w:p w:rsidR="00A534E3" w:rsidRPr="00DF503A" w:rsidRDefault="00DF503A" w:rsidP="00DF503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Google Earth Image of the current P</w:t>
      </w:r>
      <w:r w:rsidR="00E63BEF">
        <w:rPr>
          <w:rFonts w:ascii="Times New Roman" w:hAnsi="Times New Roman" w:cs="Times New Roman"/>
          <w:sz w:val="24"/>
          <w:szCs w:val="24"/>
        </w:rPr>
        <w:t>embroke Field. Rectangles represent</w:t>
      </w:r>
      <w:r>
        <w:rPr>
          <w:rFonts w:ascii="Times New Roman" w:hAnsi="Times New Roman" w:cs="Times New Roman"/>
          <w:sz w:val="24"/>
          <w:szCs w:val="24"/>
        </w:rPr>
        <w:t xml:space="preserve"> areas of possible excavation by the Pembroke Field House.</w:t>
      </w:r>
    </w:p>
    <w:p w:rsidR="00A534E3" w:rsidRDefault="00A534E3" w:rsidP="00A534E3">
      <w:pPr>
        <w:rPr>
          <w:rFonts w:ascii="Times New Roman" w:hAnsi="Times New Roman" w:cs="Times New Roman"/>
          <w:sz w:val="24"/>
          <w:szCs w:val="24"/>
        </w:rPr>
      </w:pPr>
    </w:p>
    <w:p w:rsidR="00A534E3" w:rsidRDefault="00DF503A" w:rsidP="00A534E3">
      <w:pPr>
        <w:tabs>
          <w:tab w:val="left" w:pos="6105"/>
        </w:tabs>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1312" behindDoc="1" locked="0" layoutInCell="1" allowOverlap="1">
            <wp:simplePos x="0" y="0"/>
            <wp:positionH relativeFrom="column">
              <wp:posOffset>0</wp:posOffset>
            </wp:positionH>
            <wp:positionV relativeFrom="paragraph">
              <wp:posOffset>-409575</wp:posOffset>
            </wp:positionV>
            <wp:extent cx="5943600" cy="1905000"/>
            <wp:effectExtent l="0" t="0" r="0" b="0"/>
            <wp:wrapTight wrapText="bothSides">
              <wp:wrapPolygon edited="0">
                <wp:start x="0" y="0"/>
                <wp:lineTo x="0" y="21384"/>
                <wp:lineTo x="21531" y="21384"/>
                <wp:lineTo x="21531" y="0"/>
                <wp:lineTo x="0" y="0"/>
              </wp:wrapPolygon>
            </wp:wrapTight>
            <wp:docPr id="4" name="Picture 4" descr="C:\Users\Christina\AppData\Local\Microsoft\Windows\Temporary Internet Files\Content.IE5\9F65101M\2012-09-18_14-09-10_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na\AppData\Local\Microsoft\Windows\Temporary Internet Files\Content.IE5\9F65101M\2012-09-18_14-09-10_74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42982"/>
                    <a:stretch/>
                  </pic:blipFill>
                  <pic:spPr bwMode="auto">
                    <a:xfrm>
                      <a:off x="0" y="0"/>
                      <a:ext cx="5943600" cy="190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F503A" w:rsidRDefault="00DF503A" w:rsidP="00DF503A">
      <w:pPr>
        <w:pStyle w:val="ListParagraph"/>
        <w:numPr>
          <w:ilvl w:val="0"/>
          <w:numId w:val="2"/>
        </w:numPr>
        <w:tabs>
          <w:tab w:val="left" w:pos="6105"/>
        </w:tabs>
        <w:rPr>
          <w:rFonts w:ascii="Times New Roman" w:hAnsi="Times New Roman" w:cs="Times New Roman"/>
          <w:sz w:val="24"/>
          <w:szCs w:val="24"/>
        </w:rPr>
      </w:pPr>
      <w:r>
        <w:rPr>
          <w:rFonts w:ascii="Times New Roman" w:hAnsi="Times New Roman" w:cs="Times New Roman"/>
          <w:sz w:val="24"/>
          <w:szCs w:val="24"/>
        </w:rPr>
        <w:t>Picture of the back (southern wall) of Pembroke Field House.</w:t>
      </w:r>
    </w:p>
    <w:p w:rsidR="00DF503A" w:rsidRDefault="00DF503A" w:rsidP="00DF503A">
      <w:pPr>
        <w:tabs>
          <w:tab w:val="left" w:pos="6105"/>
        </w:tabs>
        <w:rPr>
          <w:rFonts w:ascii="Times New Roman" w:hAnsi="Times New Roman" w:cs="Times New Roman"/>
          <w:sz w:val="24"/>
          <w:szCs w:val="24"/>
        </w:rPr>
      </w:pPr>
    </w:p>
    <w:p w:rsidR="008666D8" w:rsidRDefault="008666D8" w:rsidP="00DF503A">
      <w:pPr>
        <w:tabs>
          <w:tab w:val="left" w:pos="6105"/>
        </w:tabs>
        <w:rPr>
          <w:rFonts w:ascii="Times New Roman" w:hAnsi="Times New Roman" w:cs="Times New Roman"/>
          <w:sz w:val="24"/>
          <w:szCs w:val="24"/>
        </w:rPr>
      </w:pPr>
    </w:p>
    <w:p w:rsidR="008666D8" w:rsidRDefault="008666D8" w:rsidP="00DF503A">
      <w:pPr>
        <w:tabs>
          <w:tab w:val="left" w:pos="6105"/>
        </w:tabs>
        <w:rPr>
          <w:rFonts w:ascii="Times New Roman" w:hAnsi="Times New Roman" w:cs="Times New Roman"/>
          <w:sz w:val="24"/>
          <w:szCs w:val="24"/>
        </w:rPr>
      </w:pPr>
    </w:p>
    <w:p w:rsidR="00DF503A" w:rsidRDefault="00DF503A" w:rsidP="00DF503A">
      <w:pPr>
        <w:tabs>
          <w:tab w:val="left" w:pos="6105"/>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14:anchorId="1F056A7B" wp14:editId="2DD2BB17">
            <wp:simplePos x="0" y="0"/>
            <wp:positionH relativeFrom="column">
              <wp:posOffset>0</wp:posOffset>
            </wp:positionH>
            <wp:positionV relativeFrom="paragraph">
              <wp:posOffset>-635</wp:posOffset>
            </wp:positionV>
            <wp:extent cx="1933575" cy="3439160"/>
            <wp:effectExtent l="0" t="0" r="9525" b="8890"/>
            <wp:wrapTight wrapText="bothSides">
              <wp:wrapPolygon edited="0">
                <wp:start x="0" y="0"/>
                <wp:lineTo x="0" y="21536"/>
                <wp:lineTo x="21494" y="21536"/>
                <wp:lineTo x="21494" y="0"/>
                <wp:lineTo x="0" y="0"/>
              </wp:wrapPolygon>
            </wp:wrapTight>
            <wp:docPr id="5" name="Picture 5" descr="C:\Users\Christina\AppData\Local\Microsoft\Windows\Temporary Internet Files\Content.IE5\6YU4669Q\2012-09-18_14-08-15_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ina\AppData\Local\Microsoft\Windows\Temporary Internet Files\Content.IE5\6YU4669Q\2012-09-18_14-08-15_66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343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503A" w:rsidRDefault="00DF503A" w:rsidP="00DF503A">
      <w:pPr>
        <w:pStyle w:val="ListParagraph"/>
        <w:numPr>
          <w:ilvl w:val="0"/>
          <w:numId w:val="2"/>
        </w:numPr>
        <w:tabs>
          <w:tab w:val="left" w:pos="6105"/>
        </w:tabs>
        <w:rPr>
          <w:rFonts w:ascii="Times New Roman" w:hAnsi="Times New Roman" w:cs="Times New Roman"/>
          <w:sz w:val="24"/>
          <w:szCs w:val="24"/>
        </w:rPr>
      </w:pPr>
      <w:r>
        <w:rPr>
          <w:rFonts w:ascii="Times New Roman" w:hAnsi="Times New Roman" w:cs="Times New Roman"/>
          <w:sz w:val="24"/>
          <w:szCs w:val="24"/>
        </w:rPr>
        <w:t>Picture of eastern wall of Pembroke Field House, with Cushing Street to the right.</w:t>
      </w:r>
    </w:p>
    <w:p w:rsidR="008666D8" w:rsidRPr="008666D8" w:rsidRDefault="008666D8" w:rsidP="008666D8">
      <w:pPr>
        <w:tabs>
          <w:tab w:val="left" w:pos="6105"/>
        </w:tabs>
        <w:rPr>
          <w:rFonts w:ascii="Times New Roman" w:hAnsi="Times New Roman" w:cs="Times New Roman"/>
          <w:sz w:val="24"/>
          <w:szCs w:val="24"/>
        </w:rPr>
      </w:pPr>
    </w:p>
    <w:p w:rsidR="00DF503A" w:rsidRDefault="00DF503A" w:rsidP="00DF503A">
      <w:pPr>
        <w:tabs>
          <w:tab w:val="left" w:pos="6105"/>
        </w:tabs>
        <w:rPr>
          <w:rFonts w:ascii="Times New Roman" w:hAnsi="Times New Roman" w:cs="Times New Roman"/>
          <w:sz w:val="24"/>
          <w:szCs w:val="24"/>
        </w:rPr>
      </w:pPr>
    </w:p>
    <w:p w:rsidR="00DF503A" w:rsidRDefault="00DF503A" w:rsidP="00DF503A">
      <w:pPr>
        <w:tabs>
          <w:tab w:val="left" w:pos="6105"/>
        </w:tabs>
        <w:rPr>
          <w:rFonts w:ascii="Times New Roman" w:hAnsi="Times New Roman" w:cs="Times New Roman"/>
          <w:noProof/>
          <w:sz w:val="24"/>
          <w:szCs w:val="24"/>
        </w:rPr>
      </w:pPr>
    </w:p>
    <w:p w:rsidR="008666D8" w:rsidRDefault="008666D8" w:rsidP="00DF503A">
      <w:pPr>
        <w:tabs>
          <w:tab w:val="left" w:pos="6105"/>
        </w:tabs>
        <w:rPr>
          <w:rFonts w:ascii="Times New Roman" w:hAnsi="Times New Roman" w:cs="Times New Roman"/>
          <w:noProof/>
          <w:sz w:val="24"/>
          <w:szCs w:val="24"/>
        </w:rPr>
      </w:pPr>
    </w:p>
    <w:p w:rsidR="008666D8" w:rsidRDefault="008666D8" w:rsidP="00DF503A">
      <w:pPr>
        <w:tabs>
          <w:tab w:val="left" w:pos="6105"/>
        </w:tabs>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FAE8346" wp14:editId="04EEDE76">
            <wp:extent cx="2562225" cy="203269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mbroke archery.jpg"/>
                    <pic:cNvPicPr/>
                  </pic:nvPicPr>
                  <pic:blipFill>
                    <a:blip r:embed="rId9">
                      <a:extLst>
                        <a:ext uri="{28A0092B-C50C-407E-A947-70E740481C1C}">
                          <a14:useLocalDpi xmlns:a14="http://schemas.microsoft.com/office/drawing/2010/main" val="0"/>
                        </a:ext>
                      </a:extLst>
                    </a:blip>
                    <a:stretch>
                      <a:fillRect/>
                    </a:stretch>
                  </pic:blipFill>
                  <pic:spPr>
                    <a:xfrm>
                      <a:off x="0" y="0"/>
                      <a:ext cx="2562225" cy="2032699"/>
                    </a:xfrm>
                    <a:prstGeom prst="rect">
                      <a:avLst/>
                    </a:prstGeom>
                  </pic:spPr>
                </pic:pic>
              </a:graphicData>
            </a:graphic>
          </wp:inline>
        </w:drawing>
      </w:r>
    </w:p>
    <w:p w:rsidR="008666D8" w:rsidRDefault="008666D8" w:rsidP="008666D8">
      <w:pPr>
        <w:pStyle w:val="ListParagraph"/>
        <w:numPr>
          <w:ilvl w:val="0"/>
          <w:numId w:val="2"/>
        </w:numPr>
        <w:tabs>
          <w:tab w:val="left" w:pos="6105"/>
        </w:tabs>
        <w:rPr>
          <w:rFonts w:ascii="Times New Roman" w:hAnsi="Times New Roman" w:cs="Times New Roman"/>
          <w:sz w:val="24"/>
          <w:szCs w:val="24"/>
        </w:rPr>
      </w:pPr>
      <w:r>
        <w:rPr>
          <w:rFonts w:ascii="Times New Roman" w:hAnsi="Times New Roman" w:cs="Times New Roman"/>
          <w:sz w:val="24"/>
          <w:szCs w:val="24"/>
        </w:rPr>
        <w:t xml:space="preserve">Women from Pembroke practicing archery on Pembroke Field, with Pembroke Field House in the background, signifying the importance of the field to Pembroke College. From Brown Athletics History, </w:t>
      </w:r>
      <w:hyperlink r:id="rId10" w:history="1">
        <w:r w:rsidRPr="00203C9D">
          <w:rPr>
            <w:rStyle w:val="Hyperlink"/>
            <w:rFonts w:ascii="Times New Roman" w:hAnsi="Times New Roman" w:cs="Times New Roman"/>
            <w:sz w:val="24"/>
            <w:szCs w:val="24"/>
          </w:rPr>
          <w:t>http://www.brownbears.com</w:t>
        </w:r>
      </w:hyperlink>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8666D8" w:rsidRDefault="008666D8" w:rsidP="008666D8">
      <w:pPr>
        <w:tabs>
          <w:tab w:val="left" w:pos="6105"/>
        </w:tabs>
        <w:rPr>
          <w:rFonts w:ascii="Times New Roman" w:hAnsi="Times New Roman" w:cs="Times New Roman"/>
          <w:sz w:val="24"/>
          <w:szCs w:val="24"/>
        </w:rPr>
      </w:pPr>
    </w:p>
    <w:p w:rsidR="00022369" w:rsidRDefault="008666D8" w:rsidP="00022369">
      <w:pPr>
        <w:tabs>
          <w:tab w:val="left" w:pos="6105"/>
        </w:tabs>
        <w:spacing w:line="480"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Bibliography</w:t>
      </w:r>
    </w:p>
    <w:p w:rsidR="005C03C1" w:rsidRPr="005C03C1" w:rsidRDefault="005C03C1" w:rsidP="005C03C1">
      <w:pPr>
        <w:tabs>
          <w:tab w:val="left" w:pos="6105"/>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“120 Years of Women at Brown”. </w:t>
      </w:r>
      <w:proofErr w:type="gramStart"/>
      <w:r>
        <w:rPr>
          <w:rFonts w:ascii="Times New Roman" w:hAnsi="Times New Roman" w:cs="Times New Roman"/>
          <w:sz w:val="24"/>
          <w:szCs w:val="24"/>
        </w:rPr>
        <w:t>Brown University Library Special Collections.</w:t>
      </w:r>
      <w:proofErr w:type="gramEnd"/>
      <w:r>
        <w:rPr>
          <w:rFonts w:ascii="Times New Roman" w:hAnsi="Times New Roman" w:cs="Times New Roman"/>
          <w:sz w:val="24"/>
          <w:szCs w:val="24"/>
        </w:rPr>
        <w:t xml:space="preserve"> </w:t>
      </w:r>
      <w:r w:rsidRPr="005C03C1">
        <w:rPr>
          <w:rFonts w:ascii="Times New Roman" w:hAnsi="Times New Roman" w:cs="Times New Roman"/>
          <w:sz w:val="24"/>
          <w:szCs w:val="24"/>
        </w:rPr>
        <w:t>http://blogs.brown.edu/bulspecialcollections/2012/05/05/120-years-of-women-at-brown/</w:t>
      </w:r>
    </w:p>
    <w:p w:rsidR="00022369" w:rsidRDefault="00022369" w:rsidP="00022369">
      <w:pPr>
        <w:tabs>
          <w:tab w:val="left" w:pos="6105"/>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Burlingame, Edwin A. </w:t>
      </w:r>
      <w:r>
        <w:rPr>
          <w:rFonts w:ascii="Times New Roman" w:hAnsi="Times New Roman" w:cs="Times New Roman"/>
          <w:i/>
          <w:sz w:val="24"/>
          <w:szCs w:val="24"/>
        </w:rPr>
        <w:t>Plats of Brown University and Their History: 1770-1938</w:t>
      </w:r>
      <w:r>
        <w:rPr>
          <w:rFonts w:ascii="Times New Roman" w:hAnsi="Times New Roman" w:cs="Times New Roman"/>
          <w:sz w:val="24"/>
          <w:szCs w:val="24"/>
        </w:rPr>
        <w:t>. Providence. 1938.</w:t>
      </w:r>
    </w:p>
    <w:p w:rsidR="00022369" w:rsidRDefault="00022369" w:rsidP="00022369">
      <w:pPr>
        <w:tabs>
          <w:tab w:val="left" w:pos="6105"/>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“Charles T. Aldrich, Benefactor, Dies.” </w:t>
      </w:r>
      <w:proofErr w:type="gramStart"/>
      <w:r>
        <w:rPr>
          <w:rFonts w:ascii="Times New Roman" w:hAnsi="Times New Roman" w:cs="Times New Roman"/>
          <w:i/>
          <w:sz w:val="24"/>
          <w:szCs w:val="24"/>
        </w:rPr>
        <w:t>The New York Times</w:t>
      </w:r>
      <w:r>
        <w:rPr>
          <w:rFonts w:ascii="Times New Roman" w:hAnsi="Times New Roman" w:cs="Times New Roman"/>
          <w:sz w:val="24"/>
          <w:szCs w:val="24"/>
        </w:rPr>
        <w:t>.</w:t>
      </w:r>
      <w:proofErr w:type="gramEnd"/>
      <w:r>
        <w:rPr>
          <w:rFonts w:ascii="Times New Roman" w:hAnsi="Times New Roman" w:cs="Times New Roman"/>
          <w:sz w:val="24"/>
          <w:szCs w:val="24"/>
        </w:rPr>
        <w:t xml:space="preserve"> June 18, 1931.</w:t>
      </w:r>
    </w:p>
    <w:p w:rsidR="008F26F0" w:rsidRPr="008F26F0" w:rsidRDefault="008F26F0" w:rsidP="00022369">
      <w:pPr>
        <w:tabs>
          <w:tab w:val="left" w:pos="6105"/>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Deetz</w:t>
      </w:r>
      <w:proofErr w:type="spellEnd"/>
      <w:r>
        <w:rPr>
          <w:rFonts w:ascii="Times New Roman" w:hAnsi="Times New Roman" w:cs="Times New Roman"/>
          <w:sz w:val="24"/>
          <w:szCs w:val="24"/>
        </w:rPr>
        <w:t xml:space="preserve">, James. </w:t>
      </w:r>
      <w:r>
        <w:rPr>
          <w:rFonts w:ascii="Times New Roman" w:hAnsi="Times New Roman" w:cs="Times New Roman"/>
          <w:i/>
          <w:sz w:val="24"/>
          <w:szCs w:val="24"/>
        </w:rPr>
        <w:t>In Small Things Forgotten: An Archaeology of Early American Life</w:t>
      </w:r>
      <w:r>
        <w:rPr>
          <w:rFonts w:ascii="Times New Roman" w:hAnsi="Times New Roman" w:cs="Times New Roman"/>
          <w:sz w:val="24"/>
          <w:szCs w:val="24"/>
        </w:rPr>
        <w:t xml:space="preserve">. </w:t>
      </w:r>
      <w:r w:rsidR="00E2551A">
        <w:rPr>
          <w:rFonts w:ascii="Times New Roman" w:hAnsi="Times New Roman" w:cs="Times New Roman"/>
          <w:sz w:val="24"/>
          <w:szCs w:val="24"/>
        </w:rPr>
        <w:t xml:space="preserve">New York: </w:t>
      </w:r>
      <w:bookmarkStart w:id="0" w:name="_GoBack"/>
      <w:bookmarkEnd w:id="0"/>
      <w:r w:rsidR="00E2551A">
        <w:rPr>
          <w:rFonts w:ascii="Times New Roman" w:hAnsi="Times New Roman" w:cs="Times New Roman"/>
          <w:sz w:val="24"/>
          <w:szCs w:val="24"/>
        </w:rPr>
        <w:t>Anchor Books</w:t>
      </w:r>
      <w:r w:rsidR="005C03C1">
        <w:rPr>
          <w:rFonts w:ascii="Times New Roman" w:hAnsi="Times New Roman" w:cs="Times New Roman"/>
          <w:sz w:val="24"/>
          <w:szCs w:val="24"/>
        </w:rPr>
        <w:t>. 1977.</w:t>
      </w:r>
    </w:p>
    <w:p w:rsidR="008666D8" w:rsidRDefault="00022369" w:rsidP="00022369">
      <w:pPr>
        <w:tabs>
          <w:tab w:val="left" w:pos="6105"/>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Mitchell, Martha.</w:t>
      </w:r>
      <w:r w:rsidR="008666D8">
        <w:rPr>
          <w:rFonts w:ascii="Times New Roman" w:hAnsi="Times New Roman" w:cs="Times New Roman"/>
          <w:sz w:val="24"/>
          <w:szCs w:val="24"/>
        </w:rPr>
        <w:t xml:space="preserve"> </w:t>
      </w:r>
      <w:proofErr w:type="gramStart"/>
      <w:r w:rsidR="008666D8">
        <w:rPr>
          <w:rFonts w:ascii="Times New Roman" w:hAnsi="Times New Roman" w:cs="Times New Roman"/>
          <w:sz w:val="24"/>
          <w:szCs w:val="24"/>
        </w:rPr>
        <w:t>“Pembroke Field”.</w:t>
      </w:r>
      <w:proofErr w:type="gramEnd"/>
      <w:r w:rsidR="008666D8">
        <w:rPr>
          <w:rFonts w:ascii="Times New Roman" w:hAnsi="Times New Roman" w:cs="Times New Roman"/>
          <w:sz w:val="24"/>
          <w:szCs w:val="24"/>
        </w:rPr>
        <w:t xml:space="preserve"> </w:t>
      </w:r>
      <w:proofErr w:type="gramStart"/>
      <w:r w:rsidR="008666D8">
        <w:rPr>
          <w:rFonts w:ascii="Times New Roman" w:hAnsi="Times New Roman" w:cs="Times New Roman"/>
          <w:i/>
          <w:sz w:val="24"/>
          <w:szCs w:val="24"/>
        </w:rPr>
        <w:t xml:space="preserve">Encyclopedia </w:t>
      </w:r>
      <w:proofErr w:type="spellStart"/>
      <w:r w:rsidR="008666D8">
        <w:rPr>
          <w:rFonts w:ascii="Times New Roman" w:hAnsi="Times New Roman" w:cs="Times New Roman"/>
          <w:i/>
          <w:sz w:val="24"/>
          <w:szCs w:val="24"/>
        </w:rPr>
        <w:t>Brunoniana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1993. </w:t>
      </w:r>
      <w:r w:rsidRPr="00022369">
        <w:rPr>
          <w:rFonts w:ascii="Times New Roman" w:hAnsi="Times New Roman" w:cs="Times New Roman"/>
          <w:sz w:val="24"/>
          <w:szCs w:val="24"/>
        </w:rPr>
        <w:t>http://www.brown.edu/Administration/News_Bureau/Databases/Encyclopedia/</w:t>
      </w:r>
    </w:p>
    <w:p w:rsidR="00022369" w:rsidRDefault="005C03C1" w:rsidP="00022369">
      <w:pPr>
        <w:tabs>
          <w:tab w:val="left" w:pos="6105"/>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Pow</w:t>
      </w:r>
      <w:proofErr w:type="spellEnd"/>
      <w:r>
        <w:rPr>
          <w:rFonts w:ascii="Times New Roman" w:hAnsi="Times New Roman" w:cs="Times New Roman"/>
          <w:sz w:val="24"/>
          <w:szCs w:val="24"/>
        </w:rPr>
        <w:t xml:space="preserve"> Wow”.</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Brown University Native American Student Services.</w:t>
      </w:r>
      <w:proofErr w:type="gramEnd"/>
      <w:r>
        <w:rPr>
          <w:rFonts w:ascii="Times New Roman" w:hAnsi="Times New Roman" w:cs="Times New Roman"/>
          <w:sz w:val="24"/>
          <w:szCs w:val="24"/>
        </w:rPr>
        <w:t xml:space="preserve"> </w:t>
      </w:r>
      <w:r w:rsidRPr="005C03C1">
        <w:rPr>
          <w:rFonts w:ascii="Times New Roman" w:hAnsi="Times New Roman" w:cs="Times New Roman"/>
          <w:sz w:val="24"/>
          <w:szCs w:val="24"/>
        </w:rPr>
        <w:t>http://www.brown.edu/Student_Services/Native_Student_Services/powwow.html</w:t>
      </w:r>
    </w:p>
    <w:p w:rsidR="00022369" w:rsidRDefault="00022369" w:rsidP="00022369">
      <w:pPr>
        <w:tabs>
          <w:tab w:val="left" w:pos="6105"/>
        </w:tabs>
        <w:spacing w:line="480" w:lineRule="auto"/>
        <w:contextualSpacing/>
        <w:rPr>
          <w:rFonts w:ascii="Times New Roman" w:hAnsi="Times New Roman" w:cs="Times New Roman"/>
          <w:sz w:val="24"/>
          <w:szCs w:val="24"/>
        </w:rPr>
      </w:pPr>
    </w:p>
    <w:p w:rsidR="00440D21" w:rsidRPr="00440D21" w:rsidRDefault="00440D21" w:rsidP="00022369">
      <w:pPr>
        <w:tabs>
          <w:tab w:val="left" w:pos="6105"/>
        </w:tabs>
        <w:spacing w:line="480" w:lineRule="auto"/>
        <w:contextualSpacing/>
        <w:rPr>
          <w:rFonts w:ascii="Times New Roman" w:hAnsi="Times New Roman" w:cs="Times New Roman"/>
          <w:sz w:val="24"/>
          <w:szCs w:val="24"/>
        </w:rPr>
      </w:pPr>
      <w:r>
        <w:rPr>
          <w:rFonts w:ascii="Times New Roman" w:hAnsi="Times New Roman" w:cs="Times New Roman"/>
          <w:sz w:val="24"/>
          <w:szCs w:val="24"/>
        </w:rPr>
        <w:t>Other sources to consult include</w:t>
      </w:r>
      <w:r w:rsidR="000536A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Clarence A. Barbour Papers, 1923-1937</w:t>
      </w:r>
      <w:r>
        <w:rPr>
          <w:rFonts w:ascii="Times New Roman" w:hAnsi="Times New Roman" w:cs="Times New Roman"/>
          <w:sz w:val="24"/>
          <w:szCs w:val="24"/>
        </w:rPr>
        <w:t xml:space="preserve">, Brown University’s acquisition records in the 1930’s, </w:t>
      </w:r>
      <w:r w:rsidR="000536AF">
        <w:rPr>
          <w:rFonts w:ascii="Times New Roman" w:hAnsi="Times New Roman" w:cs="Times New Roman"/>
          <w:sz w:val="24"/>
          <w:szCs w:val="24"/>
        </w:rPr>
        <w:t>CAD files of the utilities of Pembroke Field from the Department of Facilities Management, and possible construction plans and blueprints from the University Archives.</w:t>
      </w:r>
    </w:p>
    <w:sectPr w:rsidR="00440D21" w:rsidRPr="00440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B00"/>
    <w:multiLevelType w:val="hybridMultilevel"/>
    <w:tmpl w:val="9B300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07C29"/>
    <w:multiLevelType w:val="hybridMultilevel"/>
    <w:tmpl w:val="0FC42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4E3"/>
    <w:rsid w:val="00022369"/>
    <w:rsid w:val="000536AF"/>
    <w:rsid w:val="001165F9"/>
    <w:rsid w:val="00191968"/>
    <w:rsid w:val="003139F4"/>
    <w:rsid w:val="003A2823"/>
    <w:rsid w:val="00422F5B"/>
    <w:rsid w:val="00435409"/>
    <w:rsid w:val="00440D21"/>
    <w:rsid w:val="0057095A"/>
    <w:rsid w:val="005C03C1"/>
    <w:rsid w:val="00602DA1"/>
    <w:rsid w:val="006C7442"/>
    <w:rsid w:val="006E5531"/>
    <w:rsid w:val="00705629"/>
    <w:rsid w:val="007D1CEE"/>
    <w:rsid w:val="00814C34"/>
    <w:rsid w:val="00862ED1"/>
    <w:rsid w:val="008666D8"/>
    <w:rsid w:val="008F26F0"/>
    <w:rsid w:val="00982238"/>
    <w:rsid w:val="00994020"/>
    <w:rsid w:val="00A5318E"/>
    <w:rsid w:val="00A534E3"/>
    <w:rsid w:val="00A60738"/>
    <w:rsid w:val="00AB4E8A"/>
    <w:rsid w:val="00C45F1D"/>
    <w:rsid w:val="00C81382"/>
    <w:rsid w:val="00DF503A"/>
    <w:rsid w:val="00DF5D34"/>
    <w:rsid w:val="00E2551A"/>
    <w:rsid w:val="00E63BEF"/>
    <w:rsid w:val="00FF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03A"/>
    <w:pPr>
      <w:ind w:left="720"/>
      <w:contextualSpacing/>
    </w:pPr>
  </w:style>
  <w:style w:type="paragraph" w:styleId="BalloonText">
    <w:name w:val="Balloon Text"/>
    <w:basedOn w:val="Normal"/>
    <w:link w:val="BalloonTextChar"/>
    <w:uiPriority w:val="99"/>
    <w:semiHidden/>
    <w:unhideWhenUsed/>
    <w:rsid w:val="00DF5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03A"/>
    <w:rPr>
      <w:rFonts w:ascii="Tahoma" w:hAnsi="Tahoma" w:cs="Tahoma"/>
      <w:sz w:val="16"/>
      <w:szCs w:val="16"/>
    </w:rPr>
  </w:style>
  <w:style w:type="character" w:styleId="Hyperlink">
    <w:name w:val="Hyperlink"/>
    <w:basedOn w:val="DefaultParagraphFont"/>
    <w:uiPriority w:val="99"/>
    <w:unhideWhenUsed/>
    <w:rsid w:val="008666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03A"/>
    <w:pPr>
      <w:ind w:left="720"/>
      <w:contextualSpacing/>
    </w:pPr>
  </w:style>
  <w:style w:type="paragraph" w:styleId="BalloonText">
    <w:name w:val="Balloon Text"/>
    <w:basedOn w:val="Normal"/>
    <w:link w:val="BalloonTextChar"/>
    <w:uiPriority w:val="99"/>
    <w:semiHidden/>
    <w:unhideWhenUsed/>
    <w:rsid w:val="00DF5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03A"/>
    <w:rPr>
      <w:rFonts w:ascii="Tahoma" w:hAnsi="Tahoma" w:cs="Tahoma"/>
      <w:sz w:val="16"/>
      <w:szCs w:val="16"/>
    </w:rPr>
  </w:style>
  <w:style w:type="character" w:styleId="Hyperlink">
    <w:name w:val="Hyperlink"/>
    <w:basedOn w:val="DefaultParagraphFont"/>
    <w:uiPriority w:val="99"/>
    <w:unhideWhenUsed/>
    <w:rsid w:val="008666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rownbears.com" TargetMode="Externa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3</cp:revision>
  <dcterms:created xsi:type="dcterms:W3CDTF">2012-09-19T21:25:00Z</dcterms:created>
  <dcterms:modified xsi:type="dcterms:W3CDTF">2012-09-19T21:27:00Z</dcterms:modified>
</cp:coreProperties>
</file>