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E55" w:rsidRPr="00C627C1" w:rsidRDefault="004A7E55" w:rsidP="00D87613">
      <w:pPr>
        <w:ind w:firstLine="0"/>
        <w:rPr>
          <w:rFonts w:ascii="Times New Roman" w:hAnsi="Times New Roman" w:cs="Times New Roman"/>
          <w:sz w:val="23"/>
          <w:szCs w:val="23"/>
        </w:rPr>
      </w:pPr>
      <w:r w:rsidRPr="00C627C1">
        <w:rPr>
          <w:rFonts w:ascii="Times New Roman" w:hAnsi="Times New Roman" w:cs="Times New Roman"/>
          <w:sz w:val="23"/>
          <w:szCs w:val="23"/>
        </w:rPr>
        <w:t>Alyssa Thelemaque</w:t>
      </w:r>
      <w:r w:rsidRPr="00C627C1">
        <w:rPr>
          <w:rFonts w:ascii="Times New Roman" w:hAnsi="Times New Roman" w:cs="Times New Roman"/>
          <w:sz w:val="23"/>
          <w:szCs w:val="23"/>
        </w:rPr>
        <w:br/>
        <w:t>ARCH 1900</w:t>
      </w:r>
      <w:r w:rsidRPr="00C627C1">
        <w:rPr>
          <w:rFonts w:ascii="Times New Roman" w:hAnsi="Times New Roman" w:cs="Times New Roman"/>
          <w:sz w:val="23"/>
          <w:szCs w:val="23"/>
        </w:rPr>
        <w:br/>
        <w:t>26 October 2009</w:t>
      </w:r>
      <w:r w:rsidRPr="00C627C1">
        <w:rPr>
          <w:rFonts w:ascii="Times New Roman" w:hAnsi="Times New Roman" w:cs="Times New Roman"/>
          <w:sz w:val="23"/>
          <w:szCs w:val="23"/>
        </w:rPr>
        <w:br/>
        <w:t>Section 5 Response</w:t>
      </w:r>
    </w:p>
    <w:p w:rsidR="008578C9" w:rsidRPr="00C627C1" w:rsidRDefault="006371AE" w:rsidP="00C627C1">
      <w:pPr>
        <w:spacing w:line="480" w:lineRule="auto"/>
        <w:contextualSpacing/>
        <w:rPr>
          <w:rFonts w:ascii="Times New Roman" w:hAnsi="Times New Roman" w:cs="Times New Roman"/>
          <w:sz w:val="23"/>
          <w:szCs w:val="23"/>
        </w:rPr>
      </w:pPr>
      <w:r w:rsidRPr="00C627C1">
        <w:rPr>
          <w:rFonts w:ascii="Times New Roman" w:hAnsi="Times New Roman" w:cs="Times New Roman"/>
          <w:sz w:val="23"/>
          <w:szCs w:val="23"/>
        </w:rPr>
        <w:t xml:space="preserve">Defining “the past” and “heritage” as they apply to my own life is difficult. First, I have to try and establish some difference between the two. </w:t>
      </w:r>
      <w:r w:rsidR="008578C9" w:rsidRPr="00C627C1">
        <w:rPr>
          <w:rFonts w:ascii="Times New Roman" w:hAnsi="Times New Roman" w:cs="Times New Roman"/>
          <w:sz w:val="23"/>
          <w:szCs w:val="23"/>
        </w:rPr>
        <w:t>In the dictionary, heritage is defined as “something that comes or belongs to one by reason of birth</w:t>
      </w:r>
      <w:r w:rsidR="008578C9" w:rsidRPr="00C627C1">
        <w:rPr>
          <w:rStyle w:val="FootnoteReference"/>
          <w:rFonts w:ascii="Times New Roman" w:hAnsi="Times New Roman" w:cs="Times New Roman"/>
          <w:sz w:val="23"/>
          <w:szCs w:val="23"/>
        </w:rPr>
        <w:footnoteReference w:id="1"/>
      </w:r>
      <w:r w:rsidR="008578C9" w:rsidRPr="00C627C1">
        <w:rPr>
          <w:rFonts w:ascii="Times New Roman" w:hAnsi="Times New Roman" w:cs="Times New Roman"/>
          <w:sz w:val="23"/>
          <w:szCs w:val="23"/>
        </w:rPr>
        <w:t>” while past is defined as “what has existed or has happened at some earlier time</w:t>
      </w:r>
      <w:r w:rsidR="008578C9" w:rsidRPr="00C627C1">
        <w:rPr>
          <w:rStyle w:val="FootnoteReference"/>
          <w:rFonts w:ascii="Times New Roman" w:hAnsi="Times New Roman" w:cs="Times New Roman"/>
          <w:sz w:val="23"/>
          <w:szCs w:val="23"/>
        </w:rPr>
        <w:footnoteReference w:id="2"/>
      </w:r>
      <w:r w:rsidR="008578C9" w:rsidRPr="00C627C1">
        <w:rPr>
          <w:rFonts w:ascii="Times New Roman" w:hAnsi="Times New Roman" w:cs="Times New Roman"/>
          <w:sz w:val="23"/>
          <w:szCs w:val="23"/>
        </w:rPr>
        <w:t xml:space="preserve">.” For me, “heritage” is </w:t>
      </w:r>
      <w:r w:rsidR="003440DF" w:rsidRPr="00C627C1">
        <w:rPr>
          <w:rFonts w:ascii="Times New Roman" w:hAnsi="Times New Roman" w:cs="Times New Roman"/>
          <w:sz w:val="23"/>
          <w:szCs w:val="23"/>
        </w:rPr>
        <w:t>a history</w:t>
      </w:r>
      <w:r w:rsidR="008578C9" w:rsidRPr="00C627C1">
        <w:rPr>
          <w:rFonts w:ascii="Times New Roman" w:hAnsi="Times New Roman" w:cs="Times New Roman"/>
          <w:sz w:val="23"/>
          <w:szCs w:val="23"/>
        </w:rPr>
        <w:t xml:space="preserve"> personalized to each individual while “the past” </w:t>
      </w:r>
      <w:r w:rsidR="003440DF" w:rsidRPr="00C627C1">
        <w:rPr>
          <w:rFonts w:ascii="Times New Roman" w:hAnsi="Times New Roman" w:cs="Times New Roman"/>
          <w:sz w:val="23"/>
          <w:szCs w:val="23"/>
        </w:rPr>
        <w:t>refers to a broader type of history.</w:t>
      </w:r>
      <w:r w:rsidR="008578C9" w:rsidRPr="00C627C1">
        <w:rPr>
          <w:rFonts w:ascii="Times New Roman" w:hAnsi="Times New Roman" w:cs="Times New Roman"/>
          <w:sz w:val="23"/>
          <w:szCs w:val="23"/>
        </w:rPr>
        <w:t xml:space="preserve"> </w:t>
      </w:r>
    </w:p>
    <w:p w:rsidR="008578C9" w:rsidRPr="00C627C1" w:rsidRDefault="008578C9" w:rsidP="00C627C1">
      <w:pPr>
        <w:spacing w:line="480" w:lineRule="auto"/>
        <w:contextualSpacing/>
        <w:rPr>
          <w:rFonts w:ascii="Times New Roman" w:hAnsi="Times New Roman" w:cs="Times New Roman"/>
          <w:sz w:val="23"/>
          <w:szCs w:val="23"/>
        </w:rPr>
      </w:pPr>
      <w:r w:rsidRPr="00C627C1">
        <w:rPr>
          <w:rFonts w:ascii="Times New Roman" w:hAnsi="Times New Roman" w:cs="Times New Roman"/>
          <w:sz w:val="23"/>
          <w:szCs w:val="23"/>
        </w:rPr>
        <w:t xml:space="preserve">My heritage would be summed up of the experiences and accomplishments of my parents and the earliest known relations I can tie myself back to. To further define my heritage, I think of the struggles that my great-grandparents went through, and claim them as my own. I would say that heritage even goes so far as to feeling that I have the right to share in the shame or success of the countries that my parents came from. </w:t>
      </w:r>
      <w:r w:rsidR="003440DF" w:rsidRPr="00C627C1">
        <w:rPr>
          <w:rFonts w:ascii="Times New Roman" w:hAnsi="Times New Roman" w:cs="Times New Roman"/>
          <w:sz w:val="23"/>
          <w:szCs w:val="23"/>
        </w:rPr>
        <w:t xml:space="preserve">Heritage in terms of archaeology is a history that is relevant to the way that a person self-identifies. </w:t>
      </w:r>
    </w:p>
    <w:p w:rsidR="00D87613" w:rsidRPr="00C627C1" w:rsidRDefault="008578C9" w:rsidP="00C627C1">
      <w:pPr>
        <w:spacing w:line="480" w:lineRule="auto"/>
        <w:contextualSpacing/>
        <w:rPr>
          <w:rFonts w:ascii="Times New Roman" w:hAnsi="Times New Roman" w:cs="Times New Roman"/>
          <w:sz w:val="23"/>
          <w:szCs w:val="23"/>
        </w:rPr>
      </w:pPr>
      <w:r w:rsidRPr="00C627C1">
        <w:rPr>
          <w:rFonts w:ascii="Times New Roman" w:hAnsi="Times New Roman" w:cs="Times New Roman"/>
          <w:sz w:val="23"/>
          <w:szCs w:val="23"/>
        </w:rPr>
        <w:t xml:space="preserve">Generally speaking, </w:t>
      </w:r>
      <w:r w:rsidR="003440DF" w:rsidRPr="00C627C1">
        <w:rPr>
          <w:rFonts w:ascii="Times New Roman" w:hAnsi="Times New Roman" w:cs="Times New Roman"/>
          <w:sz w:val="23"/>
          <w:szCs w:val="23"/>
        </w:rPr>
        <w:t xml:space="preserve">the phrase “the past” has broader, more general implications. The past doesn’t necessarily have to be something that I’m personally or linked to through familial ties. It’s more about having an awareness of events that have occurred or mindsets that have existed and understanding that they are part of a larger history. For instance, while I am in no way linked to Marston Perry or any of his descendants, I’m still extremely interested in finding the remains of his existence in the John Brown House yard. It’s hard to succinctly put into words, but “the past” connotes events and conditions that don’t necessarily belong to the person considering it. </w:t>
      </w:r>
    </w:p>
    <w:p w:rsidR="003440DF" w:rsidRPr="00C627C1" w:rsidRDefault="00CF016A" w:rsidP="00C627C1">
      <w:pPr>
        <w:spacing w:line="480" w:lineRule="auto"/>
        <w:contextualSpacing/>
        <w:rPr>
          <w:rFonts w:ascii="Times New Roman" w:hAnsi="Times New Roman" w:cs="Times New Roman"/>
          <w:sz w:val="23"/>
          <w:szCs w:val="23"/>
        </w:rPr>
      </w:pPr>
      <w:r w:rsidRPr="00C627C1">
        <w:rPr>
          <w:rFonts w:ascii="Times New Roman" w:hAnsi="Times New Roman" w:cs="Times New Roman"/>
          <w:sz w:val="23"/>
          <w:szCs w:val="23"/>
        </w:rPr>
        <w:lastRenderedPageBreak/>
        <w:t>When dealing with the past, it is important to keep in mind that it is difficult to say who the past belongs</w:t>
      </w:r>
      <w:r w:rsidR="00333BB4" w:rsidRPr="00C627C1">
        <w:rPr>
          <w:rFonts w:ascii="Times New Roman" w:hAnsi="Times New Roman" w:cs="Times New Roman"/>
          <w:sz w:val="23"/>
          <w:szCs w:val="23"/>
        </w:rPr>
        <w:t xml:space="preserve"> to and whether all parties involved in the history of a place are accurately and adequately represented. Shepherd warns that notions of ownership and agency often overlook stories of dispossession</w:t>
      </w:r>
      <w:r w:rsidR="00333BB4" w:rsidRPr="00C627C1">
        <w:rPr>
          <w:rStyle w:val="FootnoteReference"/>
          <w:rFonts w:ascii="Times New Roman" w:hAnsi="Times New Roman" w:cs="Times New Roman"/>
          <w:sz w:val="23"/>
          <w:szCs w:val="23"/>
        </w:rPr>
        <w:footnoteReference w:id="3"/>
      </w:r>
      <w:r w:rsidR="00333BB4" w:rsidRPr="00C627C1">
        <w:rPr>
          <w:rFonts w:ascii="Times New Roman" w:hAnsi="Times New Roman" w:cs="Times New Roman"/>
          <w:sz w:val="23"/>
          <w:szCs w:val="23"/>
        </w:rPr>
        <w:t>.</w:t>
      </w:r>
      <w:r w:rsidR="005A08FA" w:rsidRPr="00C627C1">
        <w:rPr>
          <w:rFonts w:ascii="Times New Roman" w:hAnsi="Times New Roman" w:cs="Times New Roman"/>
          <w:sz w:val="23"/>
          <w:szCs w:val="23"/>
        </w:rPr>
        <w:t xml:space="preserve"> </w:t>
      </w:r>
      <w:r w:rsidR="00333BB4" w:rsidRPr="00C627C1">
        <w:rPr>
          <w:rFonts w:ascii="Times New Roman" w:hAnsi="Times New Roman" w:cs="Times New Roman"/>
          <w:sz w:val="23"/>
          <w:szCs w:val="23"/>
        </w:rPr>
        <w:t xml:space="preserve">As Bankoff and Winter pointed out, although people often say that archaeology will always </w:t>
      </w:r>
      <w:r w:rsidR="00C627C1" w:rsidRPr="00C627C1">
        <w:rPr>
          <w:rFonts w:ascii="Times New Roman" w:hAnsi="Times New Roman" w:cs="Times New Roman"/>
          <w:sz w:val="23"/>
          <w:szCs w:val="23"/>
        </w:rPr>
        <w:t>uncover</w:t>
      </w:r>
      <w:r w:rsidR="00333BB4" w:rsidRPr="00C627C1">
        <w:rPr>
          <w:rFonts w:ascii="Times New Roman" w:hAnsi="Times New Roman" w:cs="Times New Roman"/>
          <w:sz w:val="23"/>
          <w:szCs w:val="23"/>
        </w:rPr>
        <w:t xml:space="preserve"> the stories of the unheard peoples, the Van Cortlandt plantation proved that the very nature of archaeology can neglect a people group as easily as</w:t>
      </w:r>
      <w:r w:rsidR="00C627C1" w:rsidRPr="00C627C1">
        <w:rPr>
          <w:rFonts w:ascii="Times New Roman" w:hAnsi="Times New Roman" w:cs="Times New Roman"/>
          <w:sz w:val="23"/>
          <w:szCs w:val="23"/>
        </w:rPr>
        <w:t xml:space="preserve"> deliberate</w:t>
      </w:r>
      <w:r w:rsidR="00333BB4" w:rsidRPr="00C627C1">
        <w:rPr>
          <w:rFonts w:ascii="Times New Roman" w:hAnsi="Times New Roman" w:cs="Times New Roman"/>
          <w:sz w:val="23"/>
          <w:szCs w:val="23"/>
        </w:rPr>
        <w:t xml:space="preserve"> human intention</w:t>
      </w:r>
      <w:r w:rsidR="00C627C1" w:rsidRPr="00C627C1">
        <w:rPr>
          <w:rFonts w:ascii="Times New Roman" w:hAnsi="Times New Roman" w:cs="Times New Roman"/>
          <w:sz w:val="23"/>
          <w:szCs w:val="23"/>
        </w:rPr>
        <w:t>,</w:t>
      </w:r>
      <w:r w:rsidR="00333BB4" w:rsidRPr="00C627C1">
        <w:rPr>
          <w:rStyle w:val="FootnoteReference"/>
          <w:rFonts w:ascii="Times New Roman" w:hAnsi="Times New Roman" w:cs="Times New Roman"/>
          <w:sz w:val="23"/>
          <w:szCs w:val="23"/>
        </w:rPr>
        <w:footnoteReference w:id="4"/>
      </w:r>
      <w:r w:rsidR="00DD59DB" w:rsidRPr="00C627C1">
        <w:rPr>
          <w:rFonts w:ascii="Times New Roman" w:hAnsi="Times New Roman" w:cs="Times New Roman"/>
          <w:sz w:val="23"/>
          <w:szCs w:val="23"/>
        </w:rPr>
        <w:t xml:space="preserve"> despite the best efforts of an archaeologist to avoid doing so</w:t>
      </w:r>
      <w:r w:rsidR="00333BB4" w:rsidRPr="00C627C1">
        <w:rPr>
          <w:rFonts w:ascii="Times New Roman" w:hAnsi="Times New Roman" w:cs="Times New Roman"/>
          <w:sz w:val="23"/>
          <w:szCs w:val="23"/>
        </w:rPr>
        <w:t xml:space="preserve">. </w:t>
      </w:r>
    </w:p>
    <w:p w:rsidR="00DD59DB" w:rsidRPr="00C627C1" w:rsidRDefault="00DD59DB" w:rsidP="00C627C1">
      <w:pPr>
        <w:spacing w:line="480" w:lineRule="auto"/>
        <w:contextualSpacing/>
        <w:rPr>
          <w:rFonts w:ascii="Times New Roman" w:hAnsi="Times New Roman" w:cs="Times New Roman"/>
          <w:sz w:val="23"/>
          <w:szCs w:val="23"/>
        </w:rPr>
      </w:pPr>
      <w:r w:rsidRPr="00C627C1">
        <w:rPr>
          <w:rFonts w:ascii="Times New Roman" w:hAnsi="Times New Roman" w:cs="Times New Roman"/>
          <w:sz w:val="23"/>
          <w:szCs w:val="23"/>
        </w:rPr>
        <w:t>The fact that notions of heritage and past are different for every individual is part of why publication needs to be as neutral, unbiased, and objective as possible. Again, even thinking of the John Brown House in terms of archaeological finds related to slavery, there are at least two completely different audiences that could be catered to—descendants of slaves and descendants of the freedmen in the greater New England area. Rhode Island was fairly dependent on slavery and as seen in the Slavery and Justice article, the Brown family was fairly involved in the slave trade</w:t>
      </w:r>
      <w:r w:rsidRPr="00C627C1">
        <w:rPr>
          <w:rStyle w:val="FootnoteReference"/>
          <w:rFonts w:ascii="Times New Roman" w:hAnsi="Times New Roman" w:cs="Times New Roman"/>
          <w:sz w:val="23"/>
          <w:szCs w:val="23"/>
        </w:rPr>
        <w:footnoteReference w:id="5"/>
      </w:r>
      <w:r w:rsidRPr="00C627C1">
        <w:rPr>
          <w:rFonts w:ascii="Times New Roman" w:hAnsi="Times New Roman" w:cs="Times New Roman"/>
          <w:sz w:val="23"/>
          <w:szCs w:val="23"/>
        </w:rPr>
        <w:t xml:space="preserve">. So when presenting finds related to evidence of the slave trade, it would be important to humanize the memory of the slaves without detracting from the good that the Brown family accomplished outside of the slave trade. </w:t>
      </w:r>
    </w:p>
    <w:p w:rsidR="00DD59DB" w:rsidRPr="00C627C1" w:rsidRDefault="00DD59DB" w:rsidP="00C627C1">
      <w:pPr>
        <w:spacing w:line="480" w:lineRule="auto"/>
        <w:contextualSpacing/>
        <w:rPr>
          <w:rFonts w:ascii="Times New Roman" w:hAnsi="Times New Roman" w:cs="Times New Roman"/>
          <w:sz w:val="23"/>
          <w:szCs w:val="23"/>
        </w:rPr>
      </w:pPr>
      <w:r w:rsidRPr="00C627C1">
        <w:rPr>
          <w:rFonts w:ascii="Times New Roman" w:hAnsi="Times New Roman" w:cs="Times New Roman"/>
          <w:sz w:val="23"/>
          <w:szCs w:val="23"/>
        </w:rPr>
        <w:t xml:space="preserve">People’s different ways of identifying with the past is another reason why an archaeologist needs to remain as objective as possible when presenting their information.  While an archaeologist’s job is to reconstruct the clearest possible picture of the past, he or she must also leave room for people’s rights to claim and reclaim their heritage. It is not the archaeologist’s </w:t>
      </w:r>
      <w:r w:rsidR="00C627C1">
        <w:rPr>
          <w:rFonts w:ascii="Times New Roman" w:hAnsi="Times New Roman" w:cs="Times New Roman"/>
          <w:sz w:val="23"/>
          <w:szCs w:val="23"/>
        </w:rPr>
        <w:t xml:space="preserve">job </w:t>
      </w:r>
      <w:r w:rsidRPr="00C627C1">
        <w:rPr>
          <w:rFonts w:ascii="Times New Roman" w:hAnsi="Times New Roman" w:cs="Times New Roman"/>
          <w:sz w:val="23"/>
          <w:szCs w:val="23"/>
        </w:rPr>
        <w:t xml:space="preserve">to decide how </w:t>
      </w:r>
      <w:r w:rsidR="00C627C1">
        <w:rPr>
          <w:rFonts w:ascii="Times New Roman" w:hAnsi="Times New Roman" w:cs="Times New Roman"/>
          <w:sz w:val="23"/>
          <w:szCs w:val="23"/>
        </w:rPr>
        <w:lastRenderedPageBreak/>
        <w:t>today’s</w:t>
      </w:r>
      <w:r w:rsidRPr="00C627C1">
        <w:rPr>
          <w:rFonts w:ascii="Times New Roman" w:hAnsi="Times New Roman" w:cs="Times New Roman"/>
          <w:sz w:val="23"/>
          <w:szCs w:val="23"/>
        </w:rPr>
        <w:t xml:space="preserve"> </w:t>
      </w:r>
      <w:r w:rsidR="00C627C1">
        <w:rPr>
          <w:rFonts w:ascii="Times New Roman" w:hAnsi="Times New Roman" w:cs="Times New Roman"/>
          <w:sz w:val="23"/>
          <w:szCs w:val="23"/>
        </w:rPr>
        <w:t>people should relate to the past, only to</w:t>
      </w:r>
      <w:r w:rsidR="00A332F2">
        <w:rPr>
          <w:rFonts w:ascii="Times New Roman" w:hAnsi="Times New Roman" w:cs="Times New Roman"/>
          <w:sz w:val="23"/>
          <w:szCs w:val="23"/>
        </w:rPr>
        <w:t xml:space="preserve"> make informed interpretations and unearth the most complete history available. </w:t>
      </w:r>
    </w:p>
    <w:p w:rsidR="00DD59DB" w:rsidRPr="00C627C1" w:rsidRDefault="00DD59DB" w:rsidP="008578C9">
      <w:pPr>
        <w:rPr>
          <w:rFonts w:ascii="Times New Roman" w:hAnsi="Times New Roman" w:cs="Times New Roman"/>
          <w:sz w:val="23"/>
          <w:szCs w:val="23"/>
        </w:rPr>
      </w:pPr>
    </w:p>
    <w:p w:rsidR="004A7E55" w:rsidRDefault="004A7E55" w:rsidP="008578C9">
      <w:pPr>
        <w:rPr>
          <w:rFonts w:ascii="Times New Roman" w:hAnsi="Times New Roman" w:cs="Times New Roman"/>
          <w:sz w:val="23"/>
          <w:szCs w:val="23"/>
        </w:rPr>
      </w:pPr>
    </w:p>
    <w:p w:rsidR="00C627C1" w:rsidRDefault="00C627C1" w:rsidP="008578C9">
      <w:pPr>
        <w:rPr>
          <w:rFonts w:ascii="Times New Roman" w:hAnsi="Times New Roman" w:cs="Times New Roman"/>
          <w:sz w:val="23"/>
          <w:szCs w:val="23"/>
        </w:rPr>
      </w:pPr>
    </w:p>
    <w:p w:rsidR="00C627C1" w:rsidRDefault="00C627C1" w:rsidP="008578C9">
      <w:pPr>
        <w:rPr>
          <w:rFonts w:ascii="Times New Roman" w:hAnsi="Times New Roman" w:cs="Times New Roman"/>
          <w:sz w:val="23"/>
          <w:szCs w:val="23"/>
        </w:rPr>
      </w:pPr>
    </w:p>
    <w:p w:rsidR="00C627C1" w:rsidRDefault="00C627C1" w:rsidP="008578C9">
      <w:pPr>
        <w:rPr>
          <w:rFonts w:ascii="Times New Roman" w:hAnsi="Times New Roman" w:cs="Times New Roman"/>
          <w:sz w:val="23"/>
          <w:szCs w:val="23"/>
        </w:rPr>
      </w:pPr>
    </w:p>
    <w:p w:rsidR="00C627C1" w:rsidRDefault="00C627C1" w:rsidP="008578C9">
      <w:pPr>
        <w:rPr>
          <w:rFonts w:ascii="Times New Roman" w:hAnsi="Times New Roman" w:cs="Times New Roman"/>
          <w:sz w:val="23"/>
          <w:szCs w:val="23"/>
        </w:rPr>
      </w:pPr>
    </w:p>
    <w:p w:rsidR="00C627C1" w:rsidRDefault="00C627C1" w:rsidP="008578C9">
      <w:pPr>
        <w:rPr>
          <w:rFonts w:ascii="Times New Roman" w:hAnsi="Times New Roman" w:cs="Times New Roman"/>
          <w:sz w:val="23"/>
          <w:szCs w:val="23"/>
        </w:rPr>
      </w:pPr>
    </w:p>
    <w:p w:rsidR="00C627C1" w:rsidRDefault="00C627C1" w:rsidP="008578C9">
      <w:pPr>
        <w:rPr>
          <w:rFonts w:ascii="Times New Roman" w:hAnsi="Times New Roman" w:cs="Times New Roman"/>
          <w:sz w:val="23"/>
          <w:szCs w:val="23"/>
        </w:rPr>
      </w:pPr>
    </w:p>
    <w:p w:rsidR="00C627C1" w:rsidRPr="00C627C1" w:rsidRDefault="00C627C1" w:rsidP="008578C9">
      <w:pPr>
        <w:rPr>
          <w:rFonts w:ascii="Times New Roman" w:hAnsi="Times New Roman" w:cs="Times New Roman"/>
          <w:sz w:val="23"/>
          <w:szCs w:val="23"/>
        </w:rPr>
      </w:pPr>
    </w:p>
    <w:p w:rsidR="004A7E55" w:rsidRPr="00C627C1" w:rsidRDefault="004A7E55" w:rsidP="008578C9">
      <w:pPr>
        <w:rPr>
          <w:rFonts w:ascii="Times New Roman" w:hAnsi="Times New Roman" w:cs="Times New Roman"/>
        </w:rPr>
      </w:pPr>
    </w:p>
    <w:p w:rsidR="004A7E55" w:rsidRPr="00C627C1" w:rsidRDefault="004A7E55" w:rsidP="004A7E55">
      <w:pPr>
        <w:pStyle w:val="NormalWeb"/>
        <w:spacing w:before="2" w:after="2" w:line="480" w:lineRule="auto"/>
        <w:rPr>
          <w:sz w:val="22"/>
          <w:szCs w:val="22"/>
        </w:rPr>
      </w:pPr>
      <w:r w:rsidRPr="00C627C1">
        <w:rPr>
          <w:sz w:val="22"/>
          <w:szCs w:val="22"/>
        </w:rPr>
        <w:t xml:space="preserve">Bankoff, H. Arthur, and F. Winter. "The Archaeology of Slavery at the Van Cortlandt Plantation in the </w:t>
      </w:r>
      <w:r w:rsidR="00CA477A" w:rsidRPr="00C627C1">
        <w:rPr>
          <w:sz w:val="22"/>
          <w:szCs w:val="22"/>
        </w:rPr>
        <w:br/>
      </w:r>
      <w:r w:rsidR="00CA477A" w:rsidRPr="00C627C1">
        <w:rPr>
          <w:sz w:val="22"/>
          <w:szCs w:val="22"/>
        </w:rPr>
        <w:tab/>
      </w:r>
      <w:r w:rsidRPr="00C627C1">
        <w:rPr>
          <w:sz w:val="22"/>
          <w:szCs w:val="22"/>
        </w:rPr>
        <w:t xml:space="preserve">Bronx, New York.." </w:t>
      </w:r>
      <w:r w:rsidRPr="00C627C1">
        <w:rPr>
          <w:i/>
          <w:sz w:val="22"/>
          <w:szCs w:val="22"/>
        </w:rPr>
        <w:t>International Journal of Historical Archaeology</w:t>
      </w:r>
      <w:r w:rsidRPr="00C627C1">
        <w:rPr>
          <w:sz w:val="22"/>
          <w:szCs w:val="22"/>
        </w:rPr>
        <w:t>.</w:t>
      </w:r>
      <w:r w:rsidR="00CA477A" w:rsidRPr="00C627C1">
        <w:rPr>
          <w:sz w:val="22"/>
          <w:szCs w:val="22"/>
        </w:rPr>
        <w:t xml:space="preserve"> </w:t>
      </w:r>
      <w:r w:rsidRPr="00C627C1">
        <w:rPr>
          <w:sz w:val="22"/>
          <w:szCs w:val="22"/>
        </w:rPr>
        <w:t xml:space="preserve">9.4 (2005): 291-318. </w:t>
      </w:r>
      <w:r w:rsidRPr="00C627C1">
        <w:rPr>
          <w:sz w:val="22"/>
          <w:szCs w:val="22"/>
        </w:rPr>
        <w:br/>
        <w:t xml:space="preserve">"heritage." </w:t>
      </w:r>
      <w:r w:rsidRPr="00C627C1">
        <w:rPr>
          <w:i/>
          <w:iCs/>
          <w:sz w:val="22"/>
          <w:szCs w:val="22"/>
        </w:rPr>
        <w:t>Dictionary.com Unabridged</w:t>
      </w:r>
      <w:r w:rsidRPr="00C627C1">
        <w:rPr>
          <w:sz w:val="22"/>
          <w:szCs w:val="22"/>
        </w:rPr>
        <w:t>. Random House, Inc. 26 Oct. 2009. &lt;Dictionary.com</w:t>
      </w:r>
      <w:r w:rsidRPr="00C627C1">
        <w:rPr>
          <w:sz w:val="22"/>
          <w:szCs w:val="22"/>
        </w:rPr>
        <w:br/>
      </w:r>
      <w:r w:rsidRPr="00C627C1">
        <w:rPr>
          <w:sz w:val="22"/>
          <w:szCs w:val="22"/>
        </w:rPr>
        <w:tab/>
      </w:r>
      <w:hyperlink r:id="rId7" w:tgtFrame="_parent" w:history="1">
        <w:r w:rsidRPr="00C627C1">
          <w:rPr>
            <w:rStyle w:val="Hyperlink"/>
            <w:color w:val="auto"/>
            <w:sz w:val="22"/>
            <w:szCs w:val="22"/>
            <w:u w:val="none"/>
          </w:rPr>
          <w:t>http://dictionary.reference.com/browse/heritage</w:t>
        </w:r>
      </w:hyperlink>
      <w:r w:rsidRPr="00C627C1">
        <w:rPr>
          <w:sz w:val="22"/>
          <w:szCs w:val="22"/>
        </w:rPr>
        <w:t>&gt;.</w:t>
      </w:r>
      <w:r w:rsidRPr="00C627C1">
        <w:rPr>
          <w:sz w:val="22"/>
          <w:szCs w:val="22"/>
        </w:rPr>
        <w:br/>
        <w:t xml:space="preserve">"past." </w:t>
      </w:r>
      <w:r w:rsidRPr="00C627C1">
        <w:rPr>
          <w:i/>
          <w:iCs/>
          <w:sz w:val="22"/>
          <w:szCs w:val="22"/>
        </w:rPr>
        <w:t>Dictionary.com Unabridged</w:t>
      </w:r>
      <w:r w:rsidRPr="00C627C1">
        <w:rPr>
          <w:sz w:val="22"/>
          <w:szCs w:val="22"/>
        </w:rPr>
        <w:t xml:space="preserve">. Random House, Inc. 26 Oct. 2009. &lt;Dictionary.com </w:t>
      </w:r>
      <w:r w:rsidR="00CA477A" w:rsidRPr="00C627C1">
        <w:rPr>
          <w:sz w:val="22"/>
          <w:szCs w:val="22"/>
        </w:rPr>
        <w:br/>
      </w:r>
      <w:r w:rsidR="00CA477A" w:rsidRPr="00C627C1">
        <w:rPr>
          <w:sz w:val="22"/>
          <w:szCs w:val="22"/>
        </w:rPr>
        <w:tab/>
      </w:r>
      <w:hyperlink r:id="rId8" w:tgtFrame="_parent" w:history="1">
        <w:r w:rsidRPr="00C627C1">
          <w:rPr>
            <w:rStyle w:val="Hyperlink"/>
            <w:color w:val="auto"/>
            <w:sz w:val="22"/>
            <w:szCs w:val="22"/>
            <w:u w:val="none"/>
          </w:rPr>
          <w:t>http://dictionary.reference.com/browse/past</w:t>
        </w:r>
      </w:hyperlink>
      <w:r w:rsidRPr="00C627C1">
        <w:rPr>
          <w:sz w:val="22"/>
          <w:szCs w:val="22"/>
        </w:rPr>
        <w:t>&gt;.</w:t>
      </w:r>
      <w:r w:rsidR="00CA477A" w:rsidRPr="00C627C1">
        <w:rPr>
          <w:sz w:val="22"/>
          <w:szCs w:val="22"/>
        </w:rPr>
        <w:t xml:space="preserve"> </w:t>
      </w:r>
      <w:r w:rsidR="00CA477A" w:rsidRPr="00C627C1">
        <w:rPr>
          <w:sz w:val="22"/>
          <w:szCs w:val="22"/>
        </w:rPr>
        <w:br/>
      </w:r>
      <w:r w:rsidRPr="00C627C1">
        <w:rPr>
          <w:sz w:val="22"/>
          <w:szCs w:val="22"/>
        </w:rPr>
        <w:t>Shep</w:t>
      </w:r>
      <w:r w:rsidR="00CA477A" w:rsidRPr="00C627C1">
        <w:rPr>
          <w:sz w:val="22"/>
          <w:szCs w:val="22"/>
        </w:rPr>
        <w:t>h</w:t>
      </w:r>
      <w:r w:rsidRPr="00C627C1">
        <w:rPr>
          <w:sz w:val="22"/>
          <w:szCs w:val="22"/>
        </w:rPr>
        <w:t>erd, Nick. "What does it mean 'To Give the Past Back to the People'? Archaeology and</w:t>
      </w:r>
      <w:r w:rsidR="00CA477A" w:rsidRPr="00C627C1">
        <w:rPr>
          <w:sz w:val="22"/>
          <w:szCs w:val="22"/>
        </w:rPr>
        <w:br/>
      </w:r>
      <w:r w:rsidR="00CA477A" w:rsidRPr="00C627C1">
        <w:rPr>
          <w:sz w:val="22"/>
          <w:szCs w:val="22"/>
        </w:rPr>
        <w:tab/>
      </w:r>
      <w:r w:rsidRPr="00C627C1">
        <w:rPr>
          <w:sz w:val="22"/>
          <w:szCs w:val="22"/>
        </w:rPr>
        <w:t xml:space="preserve">Ethics in the Postcolony." </w:t>
      </w:r>
      <w:r w:rsidRPr="00C627C1">
        <w:rPr>
          <w:i/>
          <w:sz w:val="22"/>
          <w:szCs w:val="22"/>
        </w:rPr>
        <w:t>Archaeology and Capitalism, From Ethics to Politics</w:t>
      </w:r>
      <w:r w:rsidRPr="00C627C1">
        <w:rPr>
          <w:sz w:val="22"/>
          <w:szCs w:val="22"/>
        </w:rPr>
        <w:t>. Ed. Y.</w:t>
      </w:r>
      <w:r w:rsidR="00CA477A" w:rsidRPr="00C627C1">
        <w:rPr>
          <w:sz w:val="22"/>
          <w:szCs w:val="22"/>
        </w:rPr>
        <w:br/>
      </w:r>
      <w:r w:rsidR="00CA477A" w:rsidRPr="00C627C1">
        <w:rPr>
          <w:sz w:val="22"/>
          <w:szCs w:val="22"/>
        </w:rPr>
        <w:tab/>
      </w:r>
      <w:r w:rsidRPr="00C627C1">
        <w:rPr>
          <w:sz w:val="22"/>
          <w:szCs w:val="22"/>
        </w:rPr>
        <w:t xml:space="preserve"> Hamalakis and P. Duke. Walnut Creek: Left Coast Press, 2007. </w:t>
      </w:r>
      <w:r w:rsidR="00CA477A" w:rsidRPr="00C627C1">
        <w:rPr>
          <w:sz w:val="22"/>
          <w:szCs w:val="22"/>
        </w:rPr>
        <w:br/>
      </w:r>
      <w:r w:rsidRPr="00C627C1">
        <w:rPr>
          <w:i/>
          <w:sz w:val="22"/>
          <w:szCs w:val="22"/>
        </w:rPr>
        <w:t>“Slavery and Justice: Report of the Brown University Steering Committee on Slavery and</w:t>
      </w:r>
      <w:r w:rsidR="00CA477A" w:rsidRPr="00C627C1">
        <w:rPr>
          <w:i/>
          <w:sz w:val="22"/>
          <w:szCs w:val="22"/>
        </w:rPr>
        <w:br/>
      </w:r>
      <w:r w:rsidR="00CA477A" w:rsidRPr="00C627C1">
        <w:rPr>
          <w:i/>
          <w:sz w:val="22"/>
          <w:szCs w:val="22"/>
        </w:rPr>
        <w:tab/>
      </w:r>
      <w:r w:rsidRPr="00C627C1">
        <w:rPr>
          <w:i/>
          <w:sz w:val="22"/>
          <w:szCs w:val="22"/>
        </w:rPr>
        <w:t xml:space="preserve"> Justice</w:t>
      </w:r>
      <w:r w:rsidRPr="00C627C1">
        <w:rPr>
          <w:sz w:val="22"/>
          <w:szCs w:val="22"/>
        </w:rPr>
        <w:t>.” Brown University, 2007.</w:t>
      </w:r>
    </w:p>
    <w:p w:rsidR="004A7E55" w:rsidRPr="00C627C1" w:rsidRDefault="004A7E55" w:rsidP="008578C9">
      <w:pPr>
        <w:rPr>
          <w:rFonts w:ascii="Times New Roman" w:hAnsi="Times New Roman" w:cs="Times New Roman"/>
        </w:rPr>
      </w:pPr>
    </w:p>
    <w:sectPr w:rsidR="004A7E55" w:rsidRPr="00C627C1" w:rsidSect="00047F6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545C" w:rsidRDefault="006A545C" w:rsidP="006371AE">
      <w:pPr>
        <w:spacing w:before="0" w:after="0"/>
      </w:pPr>
      <w:r>
        <w:separator/>
      </w:r>
    </w:p>
  </w:endnote>
  <w:endnote w:type="continuationSeparator" w:id="0">
    <w:p w:rsidR="006A545C" w:rsidRDefault="006A545C" w:rsidP="006371AE">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545C" w:rsidRDefault="006A545C" w:rsidP="006371AE">
      <w:pPr>
        <w:spacing w:before="0" w:after="0"/>
      </w:pPr>
      <w:r>
        <w:separator/>
      </w:r>
    </w:p>
  </w:footnote>
  <w:footnote w:type="continuationSeparator" w:id="0">
    <w:p w:rsidR="006A545C" w:rsidRDefault="006A545C" w:rsidP="006371AE">
      <w:pPr>
        <w:spacing w:before="0" w:after="0"/>
      </w:pPr>
      <w:r>
        <w:continuationSeparator/>
      </w:r>
    </w:p>
  </w:footnote>
  <w:footnote w:id="1">
    <w:p w:rsidR="008578C9" w:rsidRDefault="008578C9">
      <w:pPr>
        <w:pStyle w:val="FootnoteText"/>
      </w:pPr>
      <w:r>
        <w:rPr>
          <w:rStyle w:val="FootnoteReference"/>
        </w:rPr>
        <w:footnoteRef/>
      </w:r>
      <w:r>
        <w:t xml:space="preserve"> </w:t>
      </w:r>
      <w:r w:rsidR="004A7E55">
        <w:t xml:space="preserve">“Heritage” (Dictionary.com, 2009). </w:t>
      </w:r>
    </w:p>
  </w:footnote>
  <w:footnote w:id="2">
    <w:p w:rsidR="008578C9" w:rsidRDefault="008578C9">
      <w:pPr>
        <w:pStyle w:val="FootnoteText"/>
      </w:pPr>
      <w:r>
        <w:rPr>
          <w:rStyle w:val="FootnoteReference"/>
        </w:rPr>
        <w:footnoteRef/>
      </w:r>
      <w:r>
        <w:t xml:space="preserve"> </w:t>
      </w:r>
      <w:r w:rsidR="004A7E55">
        <w:t xml:space="preserve">“Past” (Dictionary.com, 2009). </w:t>
      </w:r>
    </w:p>
  </w:footnote>
  <w:footnote w:id="3">
    <w:p w:rsidR="00333BB4" w:rsidRDefault="00333BB4">
      <w:pPr>
        <w:pStyle w:val="FootnoteText"/>
      </w:pPr>
      <w:r>
        <w:rPr>
          <w:rStyle w:val="FootnoteReference"/>
        </w:rPr>
        <w:footnoteRef/>
      </w:r>
      <w:r>
        <w:t xml:space="preserve"> </w:t>
      </w:r>
      <w:r w:rsidR="00CA477A">
        <w:t>Nick Shepherd</w:t>
      </w:r>
      <w:r w:rsidR="004A7E55">
        <w:t xml:space="preserve"> “Give the Past Back to the People”</w:t>
      </w:r>
      <w:r w:rsidR="00CA477A">
        <w:t>(Walnut Creek: Left Coast Press, 2007) 100.</w:t>
      </w:r>
    </w:p>
  </w:footnote>
  <w:footnote w:id="4">
    <w:p w:rsidR="00333BB4" w:rsidRDefault="00333BB4" w:rsidP="00C627C1">
      <w:pPr>
        <w:pStyle w:val="FootnoteText"/>
        <w:ind w:left="720" w:firstLine="0"/>
      </w:pPr>
      <w:r>
        <w:rPr>
          <w:rStyle w:val="FootnoteReference"/>
        </w:rPr>
        <w:footnoteRef/>
      </w:r>
      <w:r>
        <w:t xml:space="preserve"> </w:t>
      </w:r>
      <w:r w:rsidR="00CA477A">
        <w:t>Arthur H. Bankoff and F. Winter “The Archaeology of Slavery” (New York: International Journal of Historical Archaeology) 314.</w:t>
      </w:r>
    </w:p>
  </w:footnote>
  <w:footnote w:id="5">
    <w:p w:rsidR="00DD59DB" w:rsidRDefault="00DD59DB" w:rsidP="00DD59DB">
      <w:pPr>
        <w:pStyle w:val="FootnoteText"/>
      </w:pPr>
      <w:r>
        <w:rPr>
          <w:rStyle w:val="FootnoteReference"/>
        </w:rPr>
        <w:footnoteRef/>
      </w:r>
      <w:r>
        <w:t xml:space="preserve"> </w:t>
      </w:r>
      <w:r w:rsidR="00CA477A">
        <w:t xml:space="preserve">“Slavery and Justice” (Brown University, 2007) 17.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footnotePr>
    <w:footnote w:id="-1"/>
    <w:footnote w:id="0"/>
  </w:footnotePr>
  <w:endnotePr>
    <w:endnote w:id="-1"/>
    <w:endnote w:id="0"/>
  </w:endnotePr>
  <w:compat/>
  <w:rsids>
    <w:rsidRoot w:val="00D87613"/>
    <w:rsid w:val="00047F62"/>
    <w:rsid w:val="00333BB4"/>
    <w:rsid w:val="003440DF"/>
    <w:rsid w:val="004A7E55"/>
    <w:rsid w:val="005A08FA"/>
    <w:rsid w:val="006371AE"/>
    <w:rsid w:val="006A545C"/>
    <w:rsid w:val="00780460"/>
    <w:rsid w:val="008578C9"/>
    <w:rsid w:val="008F7AC6"/>
    <w:rsid w:val="00952947"/>
    <w:rsid w:val="00A332F2"/>
    <w:rsid w:val="00C627C1"/>
    <w:rsid w:val="00CA477A"/>
    <w:rsid w:val="00CD7140"/>
    <w:rsid w:val="00CF016A"/>
    <w:rsid w:val="00D87613"/>
    <w:rsid w:val="00DD59DB"/>
    <w:rsid w:val="00E716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F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371AE"/>
    <w:pPr>
      <w:spacing w:before="0" w:after="0"/>
    </w:pPr>
    <w:rPr>
      <w:sz w:val="20"/>
      <w:szCs w:val="20"/>
    </w:rPr>
  </w:style>
  <w:style w:type="character" w:customStyle="1" w:styleId="FootnoteTextChar">
    <w:name w:val="Footnote Text Char"/>
    <w:basedOn w:val="DefaultParagraphFont"/>
    <w:link w:val="FootnoteText"/>
    <w:uiPriority w:val="99"/>
    <w:semiHidden/>
    <w:rsid w:val="006371AE"/>
    <w:rPr>
      <w:sz w:val="20"/>
      <w:szCs w:val="20"/>
    </w:rPr>
  </w:style>
  <w:style w:type="character" w:styleId="FootnoteReference">
    <w:name w:val="footnote reference"/>
    <w:basedOn w:val="DefaultParagraphFont"/>
    <w:uiPriority w:val="99"/>
    <w:semiHidden/>
    <w:unhideWhenUsed/>
    <w:rsid w:val="006371AE"/>
    <w:rPr>
      <w:vertAlign w:val="superscript"/>
    </w:rPr>
  </w:style>
  <w:style w:type="paragraph" w:styleId="NormalWeb">
    <w:name w:val="Normal (Web)"/>
    <w:basedOn w:val="Normal"/>
    <w:uiPriority w:val="99"/>
    <w:unhideWhenUsed/>
    <w:rsid w:val="004A7E55"/>
    <w:pPr>
      <w:ind w:firstLine="0"/>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A7E55"/>
    <w:rPr>
      <w:color w:val="0000FF"/>
      <w:u w:val="single"/>
    </w:rPr>
  </w:style>
  <w:style w:type="paragraph" w:styleId="BalloonText">
    <w:name w:val="Balloon Text"/>
    <w:basedOn w:val="Normal"/>
    <w:link w:val="BalloonTextChar"/>
    <w:uiPriority w:val="99"/>
    <w:semiHidden/>
    <w:unhideWhenUsed/>
    <w:rsid w:val="004A7E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E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6280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ictionary.reference.com/browse/past" TargetMode="External"/><Relationship Id="rId3" Type="http://schemas.openxmlformats.org/officeDocument/2006/relationships/settings" Target="settings.xml"/><Relationship Id="rId7" Type="http://schemas.openxmlformats.org/officeDocument/2006/relationships/hyperlink" Target="http://dictionary.reference.com/browse/heritag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07421-0533-4975-A24F-0984314B6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3</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Alyssa B. Thelemaque</dc:creator>
  <cp:lastModifiedBy>Alyssa B. Thelemaque</cp:lastModifiedBy>
  <cp:revision>7</cp:revision>
  <dcterms:created xsi:type="dcterms:W3CDTF">2009-10-23T16:02:00Z</dcterms:created>
  <dcterms:modified xsi:type="dcterms:W3CDTF">2009-10-27T02:35:00Z</dcterms:modified>
</cp:coreProperties>
</file>