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9C5" w:rsidRPr="00FD4979" w:rsidRDefault="00E619C5" w:rsidP="00E619C5">
      <w:pPr>
        <w:ind w:firstLine="0"/>
        <w:contextualSpacing/>
        <w:rPr>
          <w:rFonts w:ascii="Times New Roman" w:hAnsi="Times New Roman" w:cs="Times New Roman"/>
          <w:sz w:val="24"/>
          <w:szCs w:val="24"/>
        </w:rPr>
      </w:pPr>
      <w:r w:rsidRPr="00FD4979">
        <w:rPr>
          <w:rFonts w:ascii="Times New Roman" w:hAnsi="Times New Roman" w:cs="Times New Roman"/>
          <w:sz w:val="24"/>
          <w:szCs w:val="24"/>
        </w:rPr>
        <w:t>Alyssa Thelemaque</w:t>
      </w:r>
      <w:r w:rsidRPr="00FD4979">
        <w:rPr>
          <w:rFonts w:ascii="Times New Roman" w:hAnsi="Times New Roman" w:cs="Times New Roman"/>
          <w:sz w:val="24"/>
          <w:szCs w:val="24"/>
        </w:rPr>
        <w:br/>
        <w:t>ARCH 1900</w:t>
      </w:r>
      <w:r w:rsidRPr="00FD4979">
        <w:rPr>
          <w:rFonts w:ascii="Times New Roman" w:hAnsi="Times New Roman" w:cs="Times New Roman"/>
          <w:sz w:val="24"/>
          <w:szCs w:val="24"/>
        </w:rPr>
        <w:br/>
        <w:t>2 November 2009</w:t>
      </w:r>
      <w:r w:rsidRPr="00FD4979">
        <w:rPr>
          <w:rFonts w:ascii="Times New Roman" w:hAnsi="Times New Roman" w:cs="Times New Roman"/>
          <w:sz w:val="24"/>
          <w:szCs w:val="24"/>
        </w:rPr>
        <w:br/>
        <w:t>Section Response 6</w:t>
      </w:r>
    </w:p>
    <w:p w:rsidR="00E619C5" w:rsidRPr="00FD4979" w:rsidRDefault="00E619C5" w:rsidP="00E619C5">
      <w:pPr>
        <w:ind w:firstLine="0"/>
        <w:contextualSpacing/>
        <w:rPr>
          <w:rFonts w:ascii="Times New Roman" w:hAnsi="Times New Roman" w:cs="Times New Roman"/>
          <w:sz w:val="24"/>
          <w:szCs w:val="24"/>
        </w:rPr>
      </w:pPr>
    </w:p>
    <w:p w:rsidR="004B723C" w:rsidRPr="00FD4979" w:rsidRDefault="00E665BC" w:rsidP="00E619C5">
      <w:pPr>
        <w:spacing w:line="480" w:lineRule="auto"/>
        <w:contextualSpacing/>
        <w:rPr>
          <w:rFonts w:ascii="Times New Roman" w:hAnsi="Times New Roman" w:cs="Times New Roman"/>
          <w:sz w:val="24"/>
          <w:szCs w:val="24"/>
        </w:rPr>
      </w:pPr>
      <w:r w:rsidRPr="00FD4979">
        <w:rPr>
          <w:rFonts w:ascii="Times New Roman" w:hAnsi="Times New Roman" w:cs="Times New Roman"/>
          <w:sz w:val="24"/>
          <w:szCs w:val="24"/>
        </w:rPr>
        <w:t xml:space="preserve">I found this week’s set of readings particularly interesting. </w:t>
      </w:r>
      <w:r w:rsidR="004B723C" w:rsidRPr="00FD4979">
        <w:rPr>
          <w:rFonts w:ascii="Times New Roman" w:hAnsi="Times New Roman" w:cs="Times New Roman"/>
          <w:sz w:val="24"/>
          <w:szCs w:val="24"/>
        </w:rPr>
        <w:t xml:space="preserve">All three readings not only pointed out problems in current archaeological thought processes regarding ownership and presentation, but also offered solutions or alternative ways of thinking. </w:t>
      </w:r>
    </w:p>
    <w:p w:rsidR="003B6BCF" w:rsidRPr="00FD4979" w:rsidRDefault="00BE648B" w:rsidP="00E619C5">
      <w:pPr>
        <w:spacing w:line="480" w:lineRule="auto"/>
        <w:contextualSpacing/>
        <w:rPr>
          <w:rFonts w:ascii="Times New Roman" w:hAnsi="Times New Roman" w:cs="Times New Roman"/>
          <w:sz w:val="24"/>
          <w:szCs w:val="24"/>
        </w:rPr>
      </w:pPr>
      <w:r w:rsidRPr="00FD4979">
        <w:rPr>
          <w:rFonts w:ascii="Times New Roman" w:hAnsi="Times New Roman" w:cs="Times New Roman"/>
          <w:sz w:val="24"/>
          <w:szCs w:val="24"/>
        </w:rPr>
        <w:t xml:space="preserve">Last week, we read articles that raised questions about who can claim possession of the past and who needs to have the past presented to them by those possessors. Knowing that this is a problematic mindset (ownership), I was unable to come to any decisive conclusions on how to instead approach ideas of stewardship. Following last week’s readings, I </w:t>
      </w:r>
      <w:r w:rsidR="003B6BCF" w:rsidRPr="00FD4979">
        <w:rPr>
          <w:rFonts w:ascii="Times New Roman" w:hAnsi="Times New Roman" w:cs="Times New Roman"/>
          <w:sz w:val="24"/>
          <w:szCs w:val="24"/>
        </w:rPr>
        <w:t>was especially engaged by Hodder’s article. First, he points out that there are problems with assigning “ownership” to the past. One of these problems is that the idea of ownership is “reminiscent of colonial attitudes, [and], in a post-colonial world this is no longer acceptable</w:t>
      </w:r>
      <w:r w:rsidR="003B6BCF" w:rsidRPr="00FD4979">
        <w:rPr>
          <w:rStyle w:val="FootnoteReference"/>
          <w:rFonts w:ascii="Times New Roman" w:hAnsi="Times New Roman" w:cs="Times New Roman"/>
          <w:sz w:val="24"/>
          <w:szCs w:val="24"/>
        </w:rPr>
        <w:footnoteReference w:id="1"/>
      </w:r>
      <w:r w:rsidR="003B6BCF" w:rsidRPr="00FD4979">
        <w:rPr>
          <w:rFonts w:ascii="Times New Roman" w:hAnsi="Times New Roman" w:cs="Times New Roman"/>
          <w:sz w:val="24"/>
          <w:szCs w:val="24"/>
        </w:rPr>
        <w:t>.”</w:t>
      </w:r>
      <w:r w:rsidRPr="00FD4979">
        <w:rPr>
          <w:rFonts w:ascii="Times New Roman" w:hAnsi="Times New Roman" w:cs="Times New Roman"/>
          <w:sz w:val="24"/>
          <w:szCs w:val="24"/>
        </w:rPr>
        <w:t xml:space="preserve"> He then proposed an alternative mindset that I personally found very simple to adopt. “A better approach is to say that no one owns a site—rather we all pass through as travelers or tourists</w:t>
      </w:r>
      <w:r w:rsidRPr="00FD4979">
        <w:rPr>
          <w:rStyle w:val="FootnoteReference"/>
          <w:rFonts w:ascii="Times New Roman" w:hAnsi="Times New Roman" w:cs="Times New Roman"/>
          <w:sz w:val="24"/>
          <w:szCs w:val="24"/>
        </w:rPr>
        <w:footnoteReference w:id="2"/>
      </w:r>
      <w:r w:rsidRPr="00FD4979">
        <w:rPr>
          <w:rFonts w:ascii="Times New Roman" w:hAnsi="Times New Roman" w:cs="Times New Roman"/>
          <w:sz w:val="24"/>
          <w:szCs w:val="24"/>
        </w:rPr>
        <w:t>.” While this mindset may seem to take responsibility off of the archaeologist in terms of how he excavates, preserves, and presents his material, he also recognizes that “as we work as archaeological visitors in local areas, we have a responsibility to other visitors and to the need for sustainable travel. This involves caring for global tourism, but it also involves local issues and local concerns</w:t>
      </w:r>
      <w:r w:rsidRPr="00FD4979">
        <w:rPr>
          <w:rStyle w:val="FootnoteReference"/>
          <w:rFonts w:ascii="Times New Roman" w:hAnsi="Times New Roman" w:cs="Times New Roman"/>
          <w:sz w:val="24"/>
          <w:szCs w:val="24"/>
        </w:rPr>
        <w:footnoteReference w:id="3"/>
      </w:r>
      <w:r w:rsidRPr="00FD4979">
        <w:rPr>
          <w:rFonts w:ascii="Times New Roman" w:hAnsi="Times New Roman" w:cs="Times New Roman"/>
          <w:sz w:val="24"/>
          <w:szCs w:val="24"/>
        </w:rPr>
        <w:t xml:space="preserve">.” </w:t>
      </w:r>
      <w:r w:rsidR="006910E2" w:rsidRPr="00FD4979">
        <w:rPr>
          <w:rFonts w:ascii="Times New Roman" w:hAnsi="Times New Roman" w:cs="Times New Roman"/>
          <w:sz w:val="24"/>
          <w:szCs w:val="24"/>
        </w:rPr>
        <w:t xml:space="preserve">Since every person around a site is a traveler through it, everyone is responsible for the site. In terms of </w:t>
      </w:r>
      <w:r w:rsidR="006910E2" w:rsidRPr="00FD4979">
        <w:rPr>
          <w:rFonts w:ascii="Times New Roman" w:hAnsi="Times New Roman" w:cs="Times New Roman"/>
          <w:sz w:val="24"/>
          <w:szCs w:val="24"/>
        </w:rPr>
        <w:lastRenderedPageBreak/>
        <w:t>communication, the archaeologist should “insist that an evaluation of the social, economic, and cultural impact of archaeological work [be] a central and integral part of archaeological work, both within national borders and abroad</w:t>
      </w:r>
      <w:r w:rsidR="006910E2" w:rsidRPr="00FD4979">
        <w:rPr>
          <w:rStyle w:val="FootnoteReference"/>
          <w:rFonts w:ascii="Times New Roman" w:hAnsi="Times New Roman" w:cs="Times New Roman"/>
          <w:sz w:val="24"/>
          <w:szCs w:val="24"/>
        </w:rPr>
        <w:footnoteReference w:id="4"/>
      </w:r>
      <w:r w:rsidR="006910E2" w:rsidRPr="00FD4979">
        <w:rPr>
          <w:rFonts w:ascii="Times New Roman" w:hAnsi="Times New Roman" w:cs="Times New Roman"/>
          <w:sz w:val="24"/>
          <w:szCs w:val="24"/>
        </w:rPr>
        <w:t>.”</w:t>
      </w:r>
      <w:r w:rsidRPr="00FD4979">
        <w:rPr>
          <w:rFonts w:ascii="Times New Roman" w:hAnsi="Times New Roman" w:cs="Times New Roman"/>
          <w:sz w:val="24"/>
          <w:szCs w:val="24"/>
        </w:rPr>
        <w:t xml:space="preserve"> </w:t>
      </w:r>
    </w:p>
    <w:p w:rsidR="004B723C" w:rsidRPr="00FD4979" w:rsidRDefault="004B723C" w:rsidP="00E619C5">
      <w:pPr>
        <w:spacing w:line="480" w:lineRule="auto"/>
        <w:contextualSpacing/>
        <w:rPr>
          <w:rFonts w:ascii="Times New Roman" w:hAnsi="Times New Roman" w:cs="Times New Roman"/>
          <w:sz w:val="24"/>
          <w:szCs w:val="24"/>
        </w:rPr>
      </w:pPr>
      <w:r w:rsidRPr="00FD4979">
        <w:rPr>
          <w:rFonts w:ascii="Times New Roman" w:hAnsi="Times New Roman" w:cs="Times New Roman"/>
          <w:sz w:val="24"/>
          <w:szCs w:val="24"/>
        </w:rPr>
        <w:t>Silberman pointed out that when imagining ways to present archaeological materials, people sometimes confuse the appearance of many alternative voices with actual multivocality</w:t>
      </w:r>
      <w:r w:rsidRPr="00FD4979">
        <w:rPr>
          <w:rStyle w:val="FootnoteReference"/>
          <w:rFonts w:ascii="Times New Roman" w:hAnsi="Times New Roman" w:cs="Times New Roman"/>
          <w:sz w:val="24"/>
          <w:szCs w:val="24"/>
        </w:rPr>
        <w:footnoteReference w:id="5"/>
      </w:r>
      <w:r w:rsidRPr="00FD4979">
        <w:rPr>
          <w:rFonts w:ascii="Times New Roman" w:hAnsi="Times New Roman" w:cs="Times New Roman"/>
          <w:sz w:val="24"/>
          <w:szCs w:val="24"/>
        </w:rPr>
        <w:t>. Multivocality is introducing narratives that challenge dominant interpretations in order to “promote the co-existence of potentially conflicting approaches and perceptions of [a] site’s significance</w:t>
      </w:r>
      <w:r w:rsidRPr="00FD4979">
        <w:rPr>
          <w:rStyle w:val="FootnoteReference"/>
          <w:rFonts w:ascii="Times New Roman" w:hAnsi="Times New Roman" w:cs="Times New Roman"/>
          <w:sz w:val="24"/>
          <w:szCs w:val="24"/>
        </w:rPr>
        <w:footnoteReference w:id="6"/>
      </w:r>
      <w:r w:rsidRPr="00FD4979">
        <w:rPr>
          <w:rFonts w:ascii="Times New Roman" w:hAnsi="Times New Roman" w:cs="Times New Roman"/>
          <w:sz w:val="24"/>
          <w:szCs w:val="24"/>
        </w:rPr>
        <w:t xml:space="preserve">.” This is different, and more desirable and fair, than simply combining multiple voices into some sort of harmonious story. Silberman urges archaeologists to </w:t>
      </w:r>
      <w:r w:rsidR="003B6BCF" w:rsidRPr="00FD4979">
        <w:rPr>
          <w:rFonts w:ascii="Times New Roman" w:hAnsi="Times New Roman" w:cs="Times New Roman"/>
          <w:sz w:val="24"/>
          <w:szCs w:val="24"/>
        </w:rPr>
        <w:t xml:space="preserve">shy away from only catering to tourist desires for an easy-to-understand narrative and work to create a truly multivocal narrative. This type of thinking can be applied to work on both local and global scales and works well with Hodder’s idea of allowing the past to function for everybody. </w:t>
      </w:r>
    </w:p>
    <w:p w:rsidR="00E665BC" w:rsidRPr="00FD4979" w:rsidRDefault="00E619C5" w:rsidP="00E619C5">
      <w:pPr>
        <w:spacing w:line="480" w:lineRule="auto"/>
        <w:rPr>
          <w:rFonts w:ascii="Times New Roman" w:hAnsi="Times New Roman" w:cs="Times New Roman"/>
          <w:sz w:val="24"/>
          <w:szCs w:val="24"/>
        </w:rPr>
      </w:pPr>
      <w:r w:rsidRPr="00FD4979">
        <w:rPr>
          <w:rFonts w:ascii="Times New Roman" w:hAnsi="Times New Roman" w:cs="Times New Roman"/>
          <w:sz w:val="24"/>
          <w:szCs w:val="24"/>
        </w:rPr>
        <w:t xml:space="preserve">Since my final project involves researching the history of the JBH, I’m sure that I will encounter evidence of many different narratives—on both the personal and broader scale. </w:t>
      </w:r>
      <w:r w:rsidR="004B723C" w:rsidRPr="00FD4979">
        <w:rPr>
          <w:rFonts w:ascii="Times New Roman" w:hAnsi="Times New Roman" w:cs="Times New Roman"/>
          <w:sz w:val="24"/>
          <w:szCs w:val="24"/>
        </w:rPr>
        <w:t xml:space="preserve"> </w:t>
      </w:r>
      <w:r w:rsidR="001A5A89" w:rsidRPr="00FD4979">
        <w:rPr>
          <w:rFonts w:ascii="Times New Roman" w:hAnsi="Times New Roman" w:cs="Times New Roman"/>
          <w:sz w:val="24"/>
          <w:szCs w:val="24"/>
        </w:rPr>
        <w:t>I think that there are several groups of stakeholders: us excavators, those working at the JBH, those personally connected to anybody who lived on the site, the visitors to the site, the students of Brown, and the general i</w:t>
      </w:r>
      <w:r w:rsidR="00F9160B" w:rsidRPr="00FD4979">
        <w:rPr>
          <w:rFonts w:ascii="Times New Roman" w:hAnsi="Times New Roman" w:cs="Times New Roman"/>
          <w:sz w:val="24"/>
          <w:szCs w:val="24"/>
        </w:rPr>
        <w:t xml:space="preserve">nhabitants of the greater area. Within these groups of stakeholders I’m sure there are a wide variety of interests and personal histories and the challenge in how to present information will arise in figuring out how to present unbiased information in a way that appeals and caters to all of these groups; but perhaps this where Hodder’s idea of multivocality </w:t>
      </w:r>
      <w:r w:rsidR="00F9160B" w:rsidRPr="00FD4979">
        <w:rPr>
          <w:rFonts w:ascii="Times New Roman" w:hAnsi="Times New Roman" w:cs="Times New Roman"/>
          <w:sz w:val="24"/>
          <w:szCs w:val="24"/>
        </w:rPr>
        <w:lastRenderedPageBreak/>
        <w:t>in presentation will be useful</w:t>
      </w:r>
      <w:r w:rsidR="00BB3E53" w:rsidRPr="00FD4979">
        <w:rPr>
          <w:rFonts w:ascii="Times New Roman" w:hAnsi="Times New Roman" w:cs="Times New Roman"/>
          <w:sz w:val="24"/>
          <w:szCs w:val="24"/>
        </w:rPr>
        <w:t xml:space="preserve"> and, also, ideas of ownership</w:t>
      </w:r>
      <w:r w:rsidR="00F9160B" w:rsidRPr="00FD4979">
        <w:rPr>
          <w:rFonts w:ascii="Times New Roman" w:hAnsi="Times New Roman" w:cs="Times New Roman"/>
          <w:sz w:val="24"/>
          <w:szCs w:val="24"/>
        </w:rPr>
        <w:t xml:space="preserve">. </w:t>
      </w:r>
      <w:r w:rsidRPr="00FD4979">
        <w:rPr>
          <w:rFonts w:ascii="Times New Roman" w:hAnsi="Times New Roman" w:cs="Times New Roman"/>
          <w:sz w:val="24"/>
          <w:szCs w:val="24"/>
        </w:rPr>
        <w:t xml:space="preserve">With the varying groups of stakeholders, there are a lot of different people who could claim “ownership” to the site, but hopefully, I will be able to present my work in a way that treats the site as a place to travel and pass through—a place that is relevant to anybody interacting with it. </w:t>
      </w:r>
      <w:r w:rsidR="00F9160B" w:rsidRPr="00FD4979">
        <w:rPr>
          <w:rFonts w:ascii="Times New Roman" w:hAnsi="Times New Roman" w:cs="Times New Roman"/>
          <w:sz w:val="24"/>
          <w:szCs w:val="24"/>
        </w:rPr>
        <w:t xml:space="preserve"> </w:t>
      </w:r>
    </w:p>
    <w:p w:rsidR="00BB3E53" w:rsidRPr="00FD4979" w:rsidRDefault="00BB3E53" w:rsidP="00BB3E53">
      <w:pPr>
        <w:ind w:firstLine="0"/>
        <w:rPr>
          <w:rFonts w:ascii="Times New Roman" w:hAnsi="Times New Roman" w:cs="Times New Roman"/>
          <w:sz w:val="24"/>
          <w:szCs w:val="24"/>
        </w:rPr>
      </w:pPr>
    </w:p>
    <w:p w:rsidR="00E619C5" w:rsidRPr="00FD4979" w:rsidRDefault="00E619C5" w:rsidP="00BB3E53">
      <w:pPr>
        <w:ind w:firstLine="0"/>
        <w:rPr>
          <w:rFonts w:ascii="Times New Roman" w:hAnsi="Times New Roman" w:cs="Times New Roman"/>
          <w:sz w:val="24"/>
          <w:szCs w:val="24"/>
        </w:rPr>
      </w:pPr>
    </w:p>
    <w:p w:rsidR="00BB3E53" w:rsidRPr="00FD4979" w:rsidRDefault="00BB3E53" w:rsidP="00BB3E53">
      <w:pPr>
        <w:pStyle w:val="NormalWeb"/>
        <w:spacing w:before="2" w:after="2" w:line="480" w:lineRule="auto"/>
        <w:rPr>
          <w:rFonts w:ascii="Times New Roman" w:hAnsi="Times New Roman"/>
          <w:i/>
          <w:sz w:val="24"/>
          <w:szCs w:val="24"/>
        </w:rPr>
      </w:pPr>
      <w:r w:rsidRPr="00FD4979">
        <w:rPr>
          <w:rFonts w:ascii="Times New Roman" w:hAnsi="Times New Roman"/>
          <w:sz w:val="24"/>
          <w:szCs w:val="24"/>
        </w:rPr>
        <w:t xml:space="preserve">Hodder, Ian. “Sustainable Time Travel: Toward a Global Politics of the Past.” </w:t>
      </w:r>
      <w:r w:rsidRPr="00FD4979">
        <w:rPr>
          <w:rFonts w:ascii="Times New Roman" w:hAnsi="Times New Roman"/>
          <w:i/>
          <w:sz w:val="24"/>
          <w:szCs w:val="24"/>
        </w:rPr>
        <w:t xml:space="preserve">The Politics of </w:t>
      </w:r>
    </w:p>
    <w:p w:rsidR="00BB3E53" w:rsidRPr="00FD4979" w:rsidRDefault="00BB3E53" w:rsidP="00BB3E53">
      <w:pPr>
        <w:pStyle w:val="NormalWeb"/>
        <w:spacing w:before="2" w:after="2" w:line="480" w:lineRule="auto"/>
        <w:ind w:firstLine="720"/>
        <w:rPr>
          <w:rFonts w:ascii="Times New Roman" w:hAnsi="Times New Roman"/>
          <w:sz w:val="24"/>
          <w:szCs w:val="24"/>
        </w:rPr>
      </w:pPr>
      <w:r w:rsidRPr="00FD4979">
        <w:rPr>
          <w:rFonts w:ascii="Times New Roman" w:hAnsi="Times New Roman"/>
          <w:i/>
          <w:sz w:val="24"/>
          <w:szCs w:val="24"/>
        </w:rPr>
        <w:t>Archaeology and Identity in a Global Contest</w:t>
      </w:r>
      <w:r w:rsidRPr="00FD4979">
        <w:rPr>
          <w:rFonts w:ascii="Times New Roman" w:hAnsi="Times New Roman"/>
          <w:sz w:val="24"/>
          <w:szCs w:val="24"/>
        </w:rPr>
        <w:t xml:space="preserve"> Ed. S. Kane, 2003.</w:t>
      </w:r>
    </w:p>
    <w:p w:rsidR="00BB3E53" w:rsidRPr="00FD4979" w:rsidRDefault="00BB3E53" w:rsidP="00BB3E53">
      <w:pPr>
        <w:pStyle w:val="NormalWeb"/>
        <w:spacing w:before="2" w:after="2" w:line="480" w:lineRule="auto"/>
        <w:rPr>
          <w:rFonts w:ascii="Times New Roman" w:hAnsi="Times New Roman"/>
          <w:i/>
          <w:sz w:val="24"/>
          <w:szCs w:val="24"/>
        </w:rPr>
      </w:pPr>
      <w:r w:rsidRPr="00FD4979">
        <w:rPr>
          <w:rFonts w:ascii="Times New Roman" w:hAnsi="Times New Roman"/>
          <w:sz w:val="24"/>
          <w:szCs w:val="24"/>
        </w:rPr>
        <w:t xml:space="preserve">Silberman, Neil A. “Virtual Viewpoints: Multivocality in the Marketed Past?” </w:t>
      </w:r>
      <w:r w:rsidRPr="00FD4979">
        <w:rPr>
          <w:rFonts w:ascii="Times New Roman" w:hAnsi="Times New Roman"/>
          <w:i/>
          <w:sz w:val="24"/>
          <w:szCs w:val="24"/>
        </w:rPr>
        <w:t xml:space="preserve">Evaluating Multiple </w:t>
      </w:r>
    </w:p>
    <w:p w:rsidR="00BB3E53" w:rsidRPr="00FD4979" w:rsidRDefault="00BB3E53" w:rsidP="00BB3E53">
      <w:pPr>
        <w:pStyle w:val="NormalWeb"/>
        <w:spacing w:before="2" w:after="2" w:line="480" w:lineRule="auto"/>
        <w:ind w:firstLine="720"/>
        <w:rPr>
          <w:rFonts w:ascii="Times New Roman" w:hAnsi="Times New Roman"/>
          <w:sz w:val="24"/>
          <w:szCs w:val="24"/>
        </w:rPr>
      </w:pPr>
      <w:r w:rsidRPr="00FD4979">
        <w:rPr>
          <w:rFonts w:ascii="Times New Roman" w:hAnsi="Times New Roman"/>
          <w:i/>
          <w:sz w:val="24"/>
          <w:szCs w:val="24"/>
        </w:rPr>
        <w:t>Narratives: Beyond Nationalist, Colonialist, Imperialist Archaeologies.</w:t>
      </w:r>
      <w:r w:rsidRPr="00FD4979">
        <w:rPr>
          <w:rFonts w:ascii="Times New Roman" w:hAnsi="Times New Roman"/>
          <w:sz w:val="24"/>
          <w:szCs w:val="24"/>
        </w:rPr>
        <w:t xml:space="preserve"> Ed. J. Habu, C. Fawcett, </w:t>
      </w:r>
    </w:p>
    <w:p w:rsidR="00BB3E53" w:rsidRPr="00FD4979" w:rsidRDefault="00BB3E53" w:rsidP="00BB3E53">
      <w:pPr>
        <w:pStyle w:val="NormalWeb"/>
        <w:spacing w:before="2" w:after="2" w:line="480" w:lineRule="auto"/>
        <w:ind w:left="720"/>
        <w:rPr>
          <w:rFonts w:ascii="Times New Roman" w:hAnsi="Times New Roman"/>
          <w:sz w:val="24"/>
          <w:szCs w:val="24"/>
        </w:rPr>
      </w:pPr>
      <w:r w:rsidRPr="00FD4979">
        <w:rPr>
          <w:rFonts w:ascii="Times New Roman" w:hAnsi="Times New Roman"/>
          <w:sz w:val="24"/>
          <w:szCs w:val="24"/>
        </w:rPr>
        <w:t>and J. Matsunaga, New York: Springer, 2008.</w:t>
      </w:r>
    </w:p>
    <w:p w:rsidR="00BB3E53" w:rsidRPr="00FD4979" w:rsidRDefault="00BB3E53" w:rsidP="00BB3E53">
      <w:pPr>
        <w:ind w:firstLine="0"/>
        <w:rPr>
          <w:rFonts w:ascii="Times New Roman" w:hAnsi="Times New Roman" w:cs="Times New Roman"/>
          <w:sz w:val="24"/>
          <w:szCs w:val="24"/>
        </w:rPr>
      </w:pPr>
    </w:p>
    <w:sectPr w:rsidR="00BB3E53" w:rsidRPr="00FD4979" w:rsidSect="00047F6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CF3" w:rsidRDefault="00F62CF3" w:rsidP="004B723C">
      <w:pPr>
        <w:spacing w:before="0" w:after="0"/>
      </w:pPr>
      <w:r>
        <w:separator/>
      </w:r>
    </w:p>
  </w:endnote>
  <w:endnote w:type="continuationSeparator" w:id="0">
    <w:p w:rsidR="00F62CF3" w:rsidRDefault="00F62CF3" w:rsidP="004B723C">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CF3" w:rsidRDefault="00F62CF3" w:rsidP="004B723C">
      <w:pPr>
        <w:spacing w:before="0" w:after="0"/>
      </w:pPr>
      <w:r>
        <w:separator/>
      </w:r>
    </w:p>
  </w:footnote>
  <w:footnote w:type="continuationSeparator" w:id="0">
    <w:p w:rsidR="00F62CF3" w:rsidRDefault="00F62CF3" w:rsidP="004B723C">
      <w:pPr>
        <w:spacing w:before="0" w:after="0"/>
      </w:pPr>
      <w:r>
        <w:continuationSeparator/>
      </w:r>
    </w:p>
  </w:footnote>
  <w:footnote w:id="1">
    <w:p w:rsidR="003B6BCF" w:rsidRPr="00E619C5" w:rsidRDefault="003B6BCF">
      <w:pPr>
        <w:pStyle w:val="FootnoteText"/>
        <w:rPr>
          <w:sz w:val="22"/>
        </w:rPr>
      </w:pPr>
      <w:r w:rsidRPr="00E619C5">
        <w:rPr>
          <w:rStyle w:val="FootnoteReference"/>
          <w:sz w:val="22"/>
        </w:rPr>
        <w:footnoteRef/>
      </w:r>
      <w:r w:rsidRPr="00E619C5">
        <w:rPr>
          <w:sz w:val="22"/>
        </w:rPr>
        <w:t xml:space="preserve"> </w:t>
      </w:r>
      <w:r w:rsidR="00E619C5" w:rsidRPr="00E619C5">
        <w:rPr>
          <w:sz w:val="22"/>
          <w:vertAlign w:val="superscript"/>
        </w:rPr>
        <w:t xml:space="preserve">Ian Hodder </w:t>
      </w:r>
      <w:r w:rsidR="00E619C5" w:rsidRPr="00E619C5">
        <w:rPr>
          <w:rStyle w:val="apple-style-span"/>
          <w:sz w:val="22"/>
          <w:vertAlign w:val="superscript"/>
        </w:rPr>
        <w:t>“Sustainable Time Travel: Toward a Global Politics of the Past” (2003), 146.</w:t>
      </w:r>
    </w:p>
  </w:footnote>
  <w:footnote w:id="2">
    <w:p w:rsidR="00BE648B" w:rsidRPr="00E619C5" w:rsidRDefault="00BE648B">
      <w:pPr>
        <w:pStyle w:val="FootnoteText"/>
        <w:rPr>
          <w:sz w:val="22"/>
          <w:vertAlign w:val="superscript"/>
        </w:rPr>
      </w:pPr>
      <w:r w:rsidRPr="00E619C5">
        <w:rPr>
          <w:rStyle w:val="FootnoteReference"/>
          <w:sz w:val="22"/>
        </w:rPr>
        <w:footnoteRef/>
      </w:r>
      <w:r w:rsidRPr="00E619C5">
        <w:rPr>
          <w:sz w:val="22"/>
        </w:rPr>
        <w:t xml:space="preserve"> </w:t>
      </w:r>
      <w:r w:rsidR="00E619C5" w:rsidRPr="00E619C5">
        <w:rPr>
          <w:sz w:val="22"/>
          <w:vertAlign w:val="superscript"/>
        </w:rPr>
        <w:t xml:space="preserve">Hodder, 141. </w:t>
      </w:r>
    </w:p>
  </w:footnote>
  <w:footnote w:id="3">
    <w:p w:rsidR="00BE648B" w:rsidRPr="00E619C5" w:rsidRDefault="00BE648B">
      <w:pPr>
        <w:pStyle w:val="FootnoteText"/>
        <w:rPr>
          <w:sz w:val="22"/>
          <w:vertAlign w:val="superscript"/>
        </w:rPr>
      </w:pPr>
      <w:r w:rsidRPr="00E619C5">
        <w:rPr>
          <w:rStyle w:val="FootnoteReference"/>
          <w:sz w:val="22"/>
        </w:rPr>
        <w:footnoteRef/>
      </w:r>
      <w:r w:rsidRPr="00E619C5">
        <w:rPr>
          <w:sz w:val="22"/>
        </w:rPr>
        <w:t xml:space="preserve"> </w:t>
      </w:r>
      <w:r w:rsidR="00E619C5" w:rsidRPr="00E619C5">
        <w:rPr>
          <w:sz w:val="22"/>
          <w:vertAlign w:val="superscript"/>
        </w:rPr>
        <w:t xml:space="preserve">Hodder, 142. </w:t>
      </w:r>
    </w:p>
  </w:footnote>
  <w:footnote w:id="4">
    <w:p w:rsidR="006910E2" w:rsidRPr="00E619C5" w:rsidRDefault="006910E2">
      <w:pPr>
        <w:pStyle w:val="FootnoteText"/>
        <w:rPr>
          <w:sz w:val="22"/>
          <w:vertAlign w:val="superscript"/>
        </w:rPr>
      </w:pPr>
      <w:r w:rsidRPr="00E619C5">
        <w:rPr>
          <w:rStyle w:val="FootnoteReference"/>
          <w:sz w:val="22"/>
        </w:rPr>
        <w:footnoteRef/>
      </w:r>
      <w:r w:rsidRPr="00E619C5">
        <w:rPr>
          <w:sz w:val="22"/>
        </w:rPr>
        <w:t xml:space="preserve"> </w:t>
      </w:r>
      <w:r w:rsidR="00E619C5" w:rsidRPr="00E619C5">
        <w:rPr>
          <w:sz w:val="22"/>
          <w:vertAlign w:val="superscript"/>
        </w:rPr>
        <w:t>Hodder, 146.</w:t>
      </w:r>
    </w:p>
  </w:footnote>
  <w:footnote w:id="5">
    <w:p w:rsidR="004B723C" w:rsidRPr="00E619C5" w:rsidRDefault="004B723C" w:rsidP="00E619C5">
      <w:pPr>
        <w:pStyle w:val="FootnoteText"/>
        <w:spacing w:before="100" w:after="100"/>
        <w:rPr>
          <w:sz w:val="22"/>
        </w:rPr>
      </w:pPr>
      <w:r w:rsidRPr="00E619C5">
        <w:rPr>
          <w:rStyle w:val="FootnoteReference"/>
          <w:sz w:val="22"/>
        </w:rPr>
        <w:footnoteRef/>
      </w:r>
      <w:r w:rsidRPr="00E619C5">
        <w:rPr>
          <w:sz w:val="22"/>
        </w:rPr>
        <w:t xml:space="preserve"> </w:t>
      </w:r>
      <w:r w:rsidR="00E619C5" w:rsidRPr="00E619C5">
        <w:rPr>
          <w:sz w:val="22"/>
          <w:vertAlign w:val="superscript"/>
        </w:rPr>
        <w:t>Neil A. Silberman “Virtual Viewpoints: Multivocality in the Marketed Past” (New York: Springer, 2008) 138.</w:t>
      </w:r>
    </w:p>
  </w:footnote>
  <w:footnote w:id="6">
    <w:p w:rsidR="004B723C" w:rsidRDefault="004B723C">
      <w:pPr>
        <w:pStyle w:val="FootnoteText"/>
      </w:pPr>
      <w:r w:rsidRPr="00E619C5">
        <w:rPr>
          <w:rStyle w:val="FootnoteReference"/>
          <w:sz w:val="22"/>
        </w:rPr>
        <w:footnoteRef/>
      </w:r>
      <w:r w:rsidRPr="00E619C5">
        <w:rPr>
          <w:sz w:val="22"/>
        </w:rPr>
        <w:t xml:space="preserve"> </w:t>
      </w:r>
      <w:r w:rsidR="00E619C5" w:rsidRPr="00E619C5">
        <w:rPr>
          <w:sz w:val="22"/>
          <w:vertAlign w:val="superscript"/>
        </w:rPr>
        <w:t>Silberman, 141.</w:t>
      </w:r>
      <w:r w:rsidR="00E619C5" w:rsidRPr="00E619C5">
        <w:rPr>
          <w:sz w:val="22"/>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rsids>
    <w:rsidRoot w:val="003876B0"/>
    <w:rsid w:val="00047F62"/>
    <w:rsid w:val="001A5A89"/>
    <w:rsid w:val="003876B0"/>
    <w:rsid w:val="003B6BCF"/>
    <w:rsid w:val="004B723C"/>
    <w:rsid w:val="006910E2"/>
    <w:rsid w:val="006A127A"/>
    <w:rsid w:val="00952947"/>
    <w:rsid w:val="00A214DF"/>
    <w:rsid w:val="00A51191"/>
    <w:rsid w:val="00BB3E53"/>
    <w:rsid w:val="00BE648B"/>
    <w:rsid w:val="00CD7140"/>
    <w:rsid w:val="00E619C5"/>
    <w:rsid w:val="00E665BC"/>
    <w:rsid w:val="00F62CF3"/>
    <w:rsid w:val="00F9160B"/>
    <w:rsid w:val="00FD49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F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4B723C"/>
    <w:pPr>
      <w:spacing w:before="0" w:after="0"/>
    </w:pPr>
    <w:rPr>
      <w:sz w:val="20"/>
      <w:szCs w:val="20"/>
    </w:rPr>
  </w:style>
  <w:style w:type="character" w:customStyle="1" w:styleId="EndnoteTextChar">
    <w:name w:val="Endnote Text Char"/>
    <w:basedOn w:val="DefaultParagraphFont"/>
    <w:link w:val="EndnoteText"/>
    <w:uiPriority w:val="99"/>
    <w:semiHidden/>
    <w:rsid w:val="004B723C"/>
    <w:rPr>
      <w:sz w:val="20"/>
      <w:szCs w:val="20"/>
    </w:rPr>
  </w:style>
  <w:style w:type="character" w:styleId="EndnoteReference">
    <w:name w:val="endnote reference"/>
    <w:basedOn w:val="DefaultParagraphFont"/>
    <w:uiPriority w:val="99"/>
    <w:semiHidden/>
    <w:unhideWhenUsed/>
    <w:rsid w:val="004B723C"/>
    <w:rPr>
      <w:vertAlign w:val="superscript"/>
    </w:rPr>
  </w:style>
  <w:style w:type="paragraph" w:styleId="FootnoteText">
    <w:name w:val="footnote text"/>
    <w:basedOn w:val="Normal"/>
    <w:link w:val="FootnoteTextChar"/>
    <w:uiPriority w:val="99"/>
    <w:semiHidden/>
    <w:unhideWhenUsed/>
    <w:rsid w:val="004B723C"/>
    <w:pPr>
      <w:spacing w:before="0" w:after="0"/>
    </w:pPr>
    <w:rPr>
      <w:sz w:val="20"/>
      <w:szCs w:val="20"/>
    </w:rPr>
  </w:style>
  <w:style w:type="character" w:customStyle="1" w:styleId="FootnoteTextChar">
    <w:name w:val="Footnote Text Char"/>
    <w:basedOn w:val="DefaultParagraphFont"/>
    <w:link w:val="FootnoteText"/>
    <w:uiPriority w:val="99"/>
    <w:semiHidden/>
    <w:rsid w:val="004B723C"/>
    <w:rPr>
      <w:sz w:val="20"/>
      <w:szCs w:val="20"/>
    </w:rPr>
  </w:style>
  <w:style w:type="character" w:styleId="FootnoteReference">
    <w:name w:val="footnote reference"/>
    <w:basedOn w:val="DefaultParagraphFont"/>
    <w:uiPriority w:val="99"/>
    <w:semiHidden/>
    <w:unhideWhenUsed/>
    <w:rsid w:val="004B723C"/>
    <w:rPr>
      <w:vertAlign w:val="superscript"/>
    </w:rPr>
  </w:style>
  <w:style w:type="paragraph" w:styleId="NormalWeb">
    <w:name w:val="Normal (Web)"/>
    <w:basedOn w:val="Normal"/>
    <w:uiPriority w:val="99"/>
    <w:rsid w:val="00BB3E53"/>
    <w:pPr>
      <w:spacing w:beforeLines="1" w:beforeAutospacing="0" w:afterLines="1" w:afterAutospacing="0"/>
      <w:ind w:firstLine="0"/>
    </w:pPr>
    <w:rPr>
      <w:rFonts w:ascii="Times" w:eastAsia="Cambria" w:hAnsi="Times" w:cs="Times New Roman"/>
      <w:sz w:val="20"/>
      <w:szCs w:val="20"/>
    </w:rPr>
  </w:style>
  <w:style w:type="character" w:customStyle="1" w:styleId="apple-style-span">
    <w:name w:val="apple-style-span"/>
    <w:basedOn w:val="DefaultParagraphFont"/>
    <w:rsid w:val="00E619C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7B026-69B2-4828-BF3C-8C47F5EC6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B. Thelemaque</dc:creator>
  <cp:lastModifiedBy>Alyssa B. Thelemaque</cp:lastModifiedBy>
  <cp:revision>8</cp:revision>
  <dcterms:created xsi:type="dcterms:W3CDTF">2009-11-01T17:59:00Z</dcterms:created>
  <dcterms:modified xsi:type="dcterms:W3CDTF">2009-11-03T05:00:00Z</dcterms:modified>
</cp:coreProperties>
</file>