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4060" w:rsidRPr="004A4060" w:rsidRDefault="004A4060" w:rsidP="004A4060">
      <w:pPr>
        <w:rPr>
          <w:rFonts w:ascii="Times New Roman" w:hAnsi="Times New Roman" w:cs="Times New Roman"/>
          <w:sz w:val="24"/>
          <w:szCs w:val="24"/>
        </w:rPr>
      </w:pPr>
      <w:r>
        <w:rPr>
          <w:rFonts w:ascii="Times New Roman" w:hAnsi="Times New Roman" w:cs="Times New Roman"/>
          <w:sz w:val="24"/>
          <w:szCs w:val="24"/>
        </w:rPr>
        <w:t xml:space="preserve">Peter Hatch and Susan </w:t>
      </w:r>
      <w:proofErr w:type="spellStart"/>
      <w:r>
        <w:rPr>
          <w:rFonts w:ascii="Times New Roman" w:hAnsi="Times New Roman" w:cs="Times New Roman"/>
          <w:sz w:val="24"/>
          <w:szCs w:val="24"/>
        </w:rPr>
        <w:t>Herringer</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77BFF">
        <w:rPr>
          <w:rFonts w:ascii="Times New Roman" w:hAnsi="Times New Roman" w:cs="Times New Roman"/>
          <w:sz w:val="24"/>
          <w:szCs w:val="24"/>
        </w:rPr>
        <w:tab/>
      </w:r>
      <w:r w:rsidR="00777BFF">
        <w:rPr>
          <w:rFonts w:ascii="Times New Roman" w:hAnsi="Times New Roman" w:cs="Times New Roman"/>
          <w:sz w:val="24"/>
          <w:szCs w:val="24"/>
        </w:rPr>
        <w:tab/>
      </w:r>
      <w:r>
        <w:rPr>
          <w:rFonts w:ascii="Times New Roman" w:hAnsi="Times New Roman" w:cs="Times New Roman"/>
          <w:sz w:val="24"/>
          <w:szCs w:val="24"/>
        </w:rPr>
        <w:t xml:space="preserve">Week 8 Practicum </w:t>
      </w:r>
    </w:p>
    <w:p w:rsidR="004A4060" w:rsidRPr="004A4060" w:rsidRDefault="004A4060" w:rsidP="004A4060">
      <w:pPr>
        <w:rPr>
          <w:rFonts w:ascii="Times New Roman" w:hAnsi="Times New Roman" w:cs="Times New Roman"/>
          <w:b/>
          <w:sz w:val="24"/>
          <w:szCs w:val="24"/>
        </w:rPr>
      </w:pPr>
      <w:r>
        <w:rPr>
          <w:rFonts w:ascii="Times New Roman" w:hAnsi="Times New Roman" w:cs="Times New Roman"/>
          <w:b/>
          <w:sz w:val="24"/>
          <w:szCs w:val="24"/>
        </w:rPr>
        <w:t>Part I: Ceramic Manufacture and Materials Science</w:t>
      </w:r>
    </w:p>
    <w:p w:rsidR="00EE26B0" w:rsidRPr="00F7483C" w:rsidRDefault="00880D3B" w:rsidP="00F7483C">
      <w:pPr>
        <w:ind w:firstLine="720"/>
        <w:rPr>
          <w:rFonts w:ascii="Times New Roman" w:hAnsi="Times New Roman" w:cs="Times New Roman"/>
          <w:sz w:val="24"/>
          <w:szCs w:val="24"/>
        </w:rPr>
      </w:pPr>
      <w:r w:rsidRPr="00F7483C">
        <w:rPr>
          <w:rFonts w:ascii="Times New Roman" w:hAnsi="Times New Roman" w:cs="Times New Roman"/>
          <w:sz w:val="24"/>
          <w:szCs w:val="24"/>
        </w:rPr>
        <w:t>The</w:t>
      </w:r>
      <w:r w:rsidR="002B435E" w:rsidRPr="00F7483C">
        <w:rPr>
          <w:rFonts w:ascii="Times New Roman" w:hAnsi="Times New Roman" w:cs="Times New Roman"/>
          <w:sz w:val="24"/>
          <w:szCs w:val="24"/>
        </w:rPr>
        <w:t xml:space="preserve"> Acoma Pueblo bowl is approximately a foot in diameter.  It appears to have been made in a similar fashion to how Maria Martinez constructed the bowls in the documentary video</w:t>
      </w:r>
      <w:r w:rsidR="00BC5D87">
        <w:rPr>
          <w:rFonts w:ascii="Times New Roman" w:hAnsi="Times New Roman" w:cs="Times New Roman"/>
          <w:sz w:val="24"/>
          <w:szCs w:val="24"/>
        </w:rPr>
        <w:t xml:space="preserve"> that we watched</w:t>
      </w:r>
      <w:r w:rsidR="002B435E" w:rsidRPr="00F7483C">
        <w:rPr>
          <w:rFonts w:ascii="Times New Roman" w:hAnsi="Times New Roman" w:cs="Times New Roman"/>
          <w:sz w:val="24"/>
          <w:szCs w:val="24"/>
        </w:rPr>
        <w:t>.  The bottom portion was likely a piece of sla</w:t>
      </w:r>
      <w:r w:rsidR="00BC5D87">
        <w:rPr>
          <w:rFonts w:ascii="Times New Roman" w:hAnsi="Times New Roman" w:cs="Times New Roman"/>
          <w:sz w:val="24"/>
          <w:szCs w:val="24"/>
        </w:rPr>
        <w:t>b that was pressed into a circular</w:t>
      </w:r>
      <w:r w:rsidR="002B435E" w:rsidRPr="00F7483C">
        <w:rPr>
          <w:rFonts w:ascii="Times New Roman" w:hAnsi="Times New Roman" w:cs="Times New Roman"/>
          <w:sz w:val="24"/>
          <w:szCs w:val="24"/>
        </w:rPr>
        <w:t xml:space="preserve"> form/mold.  The walls would have then been built up using coils.  Once the form was constructed, the walls </w:t>
      </w:r>
      <w:r w:rsidR="00B04188" w:rsidRPr="00F7483C">
        <w:rPr>
          <w:rFonts w:ascii="Times New Roman" w:hAnsi="Times New Roman" w:cs="Times New Roman"/>
          <w:sz w:val="24"/>
          <w:szCs w:val="24"/>
        </w:rPr>
        <w:t>were likely thinned by turning and shaving.  The surface was then burnished with a tool.  The earthenware bowl has a red unglazed surface</w:t>
      </w:r>
      <w:r w:rsidR="00BC5D87">
        <w:rPr>
          <w:rFonts w:ascii="Times New Roman" w:hAnsi="Times New Roman" w:cs="Times New Roman"/>
          <w:sz w:val="24"/>
          <w:szCs w:val="24"/>
        </w:rPr>
        <w:t xml:space="preserve"> on the interior with a yellow slip/glaze in a linear design</w:t>
      </w:r>
      <w:r w:rsidR="00B04188" w:rsidRPr="00F7483C">
        <w:rPr>
          <w:rFonts w:ascii="Times New Roman" w:hAnsi="Times New Roman" w:cs="Times New Roman"/>
          <w:sz w:val="24"/>
          <w:szCs w:val="24"/>
        </w:rPr>
        <w:t xml:space="preserve">.  A chip on the rim of the bowl exposes the </w:t>
      </w:r>
      <w:r w:rsidR="00BC5D87">
        <w:rPr>
          <w:rFonts w:ascii="Times New Roman" w:hAnsi="Times New Roman" w:cs="Times New Roman"/>
          <w:sz w:val="24"/>
          <w:szCs w:val="24"/>
        </w:rPr>
        <w:t>cross-sectional</w:t>
      </w:r>
      <w:r w:rsidR="00B04188" w:rsidRPr="00F7483C">
        <w:rPr>
          <w:rFonts w:ascii="Times New Roman" w:hAnsi="Times New Roman" w:cs="Times New Roman"/>
          <w:sz w:val="24"/>
          <w:szCs w:val="24"/>
        </w:rPr>
        <w:t xml:space="preserve"> color gradient of the vessel.  The core is gray and transitions to yellow and finally red at the exterior.   The outside of the vessel has a red glass on the bottom and a yellow glaze on the top portion; a </w:t>
      </w:r>
      <w:r w:rsidR="00F7483C" w:rsidRPr="00F7483C">
        <w:rPr>
          <w:rFonts w:ascii="Times New Roman" w:hAnsi="Times New Roman" w:cs="Times New Roman"/>
          <w:sz w:val="24"/>
          <w:szCs w:val="24"/>
        </w:rPr>
        <w:t>black linear design was applied over the yellow glaze.  Lastly, a clear glaze was applied.  The cross-sectional color sequence provides details of the firing sequence and the application of the glaze.  If the glaze was applied before the first firing, then the red-gray-red sequence would not be found, but rather a glaze-gray-red sequence (Figure 1).</w:t>
      </w:r>
    </w:p>
    <w:p w:rsidR="00F7483C" w:rsidRPr="00F7483C" w:rsidRDefault="008B5136" w:rsidP="00F7483C">
      <w:pPr>
        <w:jc w:val="center"/>
        <w:rPr>
          <w:rFonts w:ascii="Times New Roman" w:hAnsi="Times New Roman" w:cs="Times New Roman"/>
          <w:sz w:val="24"/>
          <w:szCs w:val="24"/>
        </w:rPr>
      </w:pPr>
      <w:r w:rsidRPr="008B5136">
        <w:rPr>
          <w:rFonts w:ascii="Times New Roman" w:hAnsi="Times New Roman" w:cs="Times New Roman"/>
          <w:sz w:val="24"/>
          <w:szCs w:val="24"/>
        </w:rPr>
        <w:drawing>
          <wp:inline distT="0" distB="0" distL="0" distR="0">
            <wp:extent cx="2447925" cy="1400175"/>
            <wp:effectExtent l="19050" t="0" r="0" b="0"/>
            <wp:docPr id="2"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429000" cy="2034064"/>
                      <a:chOff x="1447800" y="1307068"/>
                      <a:chExt cx="3429000" cy="2034064"/>
                    </a:xfrm>
                  </a:grpSpPr>
                  <a:grpSp>
                    <a:nvGrpSpPr>
                      <a:cNvPr id="35" name="Group 34"/>
                      <a:cNvGrpSpPr/>
                    </a:nvGrpSpPr>
                    <a:grpSpPr>
                      <a:xfrm>
                        <a:off x="1447800" y="1307068"/>
                        <a:ext cx="3429000" cy="2034064"/>
                        <a:chOff x="1447800" y="1307068"/>
                        <a:chExt cx="3429000" cy="2034064"/>
                      </a:xfrm>
                    </a:grpSpPr>
                    <a:grpSp>
                      <a:nvGrpSpPr>
                        <a:cNvPr id="3" name="Group 32"/>
                        <a:cNvGrpSpPr/>
                      </a:nvGrpSpPr>
                      <a:grpSpPr>
                        <a:xfrm>
                          <a:off x="1447800" y="1307068"/>
                          <a:ext cx="3429000" cy="1588532"/>
                          <a:chOff x="1447800" y="1307068"/>
                          <a:chExt cx="3429000" cy="1588532"/>
                        </a:xfrm>
                      </a:grpSpPr>
                      <a:sp>
                        <a:nvSpPr>
                          <a:cNvPr id="4" name="Rectangle 3"/>
                          <a:cNvSpPr/>
                        </a:nvSpPr>
                        <a:spPr>
                          <a:xfrm>
                            <a:off x="1524000" y="1905000"/>
                            <a:ext cx="1524000" cy="990600"/>
                          </a:xfrm>
                          <a:prstGeom prst="rect">
                            <a:avLst/>
                          </a:prstGeom>
                          <a:ln>
                            <a:solidFill>
                              <a:schemeClr val="tx1"/>
                            </a:solidFill>
                          </a:ln>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en-US"/>
                            </a:p>
                          </a:txBody>
                          <a:useSpRect/>
                        </a:txSp>
                        <a:style>
                          <a:lnRef idx="2">
                            <a:schemeClr val="accent6"/>
                          </a:lnRef>
                          <a:fillRef idx="1">
                            <a:schemeClr val="lt1"/>
                          </a:fillRef>
                          <a:effectRef idx="0">
                            <a:schemeClr val="accent6"/>
                          </a:effectRef>
                          <a:fontRef idx="minor">
                            <a:schemeClr val="dk1"/>
                          </a:fontRef>
                        </a:style>
                      </a:sp>
                      <a:cxnSp>
                        <a:nvCxnSpPr>
                          <a:cNvPr id="6" name="Straight Connector 5"/>
                          <a:cNvCxnSpPr/>
                        </a:nvCxnSpPr>
                        <a:spPr>
                          <a:xfrm rot="5400000">
                            <a:off x="1485900" y="2400300"/>
                            <a:ext cx="990600" cy="0"/>
                          </a:xfrm>
                          <a:prstGeom prst="line">
                            <a:avLst/>
                          </a:prstGeom>
                          <a:ln>
                            <a:solidFill>
                              <a:schemeClr val="tx1"/>
                            </a:solidFill>
                          </a:ln>
                        </a:spPr>
                        <a:style>
                          <a:lnRef idx="1">
                            <a:schemeClr val="accent1"/>
                          </a:lnRef>
                          <a:fillRef idx="0">
                            <a:schemeClr val="accent1"/>
                          </a:fillRef>
                          <a:effectRef idx="0">
                            <a:schemeClr val="accent1"/>
                          </a:effectRef>
                          <a:fontRef idx="minor">
                            <a:schemeClr val="tx1"/>
                          </a:fontRef>
                        </a:style>
                      </a:cxnSp>
                      <a:cxnSp>
                        <a:nvCxnSpPr>
                          <a:cNvPr id="7" name="Straight Connector 6"/>
                          <a:cNvCxnSpPr/>
                        </a:nvCxnSpPr>
                        <a:spPr>
                          <a:xfrm rot="5400000">
                            <a:off x="2019300" y="2400300"/>
                            <a:ext cx="990600" cy="0"/>
                          </a:xfrm>
                          <a:prstGeom prst="line">
                            <a:avLst/>
                          </a:prstGeom>
                          <a:ln>
                            <a:solidFill>
                              <a:schemeClr val="tx1"/>
                            </a:solidFill>
                          </a:ln>
                        </a:spPr>
                        <a:style>
                          <a:lnRef idx="1">
                            <a:schemeClr val="accent1"/>
                          </a:lnRef>
                          <a:fillRef idx="0">
                            <a:schemeClr val="accent1"/>
                          </a:fillRef>
                          <a:effectRef idx="0">
                            <a:schemeClr val="accent1"/>
                          </a:effectRef>
                          <a:fontRef idx="minor">
                            <a:schemeClr val="tx1"/>
                          </a:fontRef>
                        </a:style>
                      </a:cxnSp>
                      <a:sp>
                        <a:nvSpPr>
                          <a:cNvPr id="8" name="TextBox 7"/>
                          <a:cNvSpPr txBox="1"/>
                        </a:nvSpPr>
                        <a:spPr>
                          <a:xfrm>
                            <a:off x="1524000" y="2145268"/>
                            <a:ext cx="5334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red</a:t>
                              </a:r>
                              <a:endParaRPr lang="en-US" dirty="0"/>
                            </a:p>
                          </a:txBody>
                          <a:useSpRect/>
                        </a:txSp>
                      </a:sp>
                      <a:sp>
                        <a:nvSpPr>
                          <a:cNvPr id="9" name="TextBox 8"/>
                          <a:cNvSpPr txBox="1"/>
                        </a:nvSpPr>
                        <a:spPr>
                          <a:xfrm>
                            <a:off x="2514600" y="2133600"/>
                            <a:ext cx="5334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red</a:t>
                              </a:r>
                              <a:endParaRPr lang="en-US" dirty="0"/>
                            </a:p>
                          </a:txBody>
                          <a:useSpRect/>
                        </a:txSp>
                      </a:sp>
                      <a:sp>
                        <a:nvSpPr>
                          <a:cNvPr id="10" name="TextBox 9"/>
                          <a:cNvSpPr txBox="1"/>
                        </a:nvSpPr>
                        <a:spPr>
                          <a:xfrm>
                            <a:off x="1981200" y="2145268"/>
                            <a:ext cx="6858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gray</a:t>
                              </a:r>
                              <a:endParaRPr lang="en-US" dirty="0"/>
                            </a:p>
                          </a:txBody>
                          <a:useSpRect/>
                        </a:txSp>
                      </a:sp>
                      <a:sp>
                        <a:nvSpPr>
                          <a:cNvPr id="21" name="Rectangle 20"/>
                          <a:cNvSpPr/>
                        </a:nvSpPr>
                        <a:spPr>
                          <a:xfrm>
                            <a:off x="3810000" y="1905000"/>
                            <a:ext cx="1066800" cy="990600"/>
                          </a:xfrm>
                          <a:prstGeom prst="rect">
                            <a:avLst/>
                          </a:prstGeom>
                          <a:ln>
                            <a:solidFill>
                              <a:schemeClr val="tx1"/>
                            </a:solidFill>
                          </a:ln>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en-US"/>
                            </a:p>
                          </a:txBody>
                          <a:useSpRect/>
                        </a:txSp>
                        <a:style>
                          <a:lnRef idx="2">
                            <a:schemeClr val="accent6"/>
                          </a:lnRef>
                          <a:fillRef idx="1">
                            <a:schemeClr val="lt1"/>
                          </a:fillRef>
                          <a:effectRef idx="0">
                            <a:schemeClr val="accent6"/>
                          </a:effectRef>
                          <a:fontRef idx="minor">
                            <a:schemeClr val="dk1"/>
                          </a:fontRef>
                        </a:style>
                      </a:sp>
                      <a:cxnSp>
                        <a:nvCxnSpPr>
                          <a:cNvPr id="22" name="Straight Connector 21"/>
                          <a:cNvCxnSpPr/>
                        </a:nvCxnSpPr>
                        <a:spPr>
                          <a:xfrm rot="5400000">
                            <a:off x="3314700" y="2400300"/>
                            <a:ext cx="990600" cy="0"/>
                          </a:xfrm>
                          <a:prstGeom prst="line">
                            <a:avLst/>
                          </a:prstGeom>
                          <a:ln>
                            <a:solidFill>
                              <a:schemeClr val="tx1"/>
                            </a:solidFill>
                          </a:ln>
                        </a:spPr>
                        <a:style>
                          <a:lnRef idx="1">
                            <a:schemeClr val="accent1"/>
                          </a:lnRef>
                          <a:fillRef idx="0">
                            <a:schemeClr val="accent1"/>
                          </a:fillRef>
                          <a:effectRef idx="0">
                            <a:schemeClr val="accent1"/>
                          </a:effectRef>
                          <a:fontRef idx="minor">
                            <a:schemeClr val="tx1"/>
                          </a:fontRef>
                        </a:style>
                      </a:cxnSp>
                      <a:cxnSp>
                        <a:nvCxnSpPr>
                          <a:cNvPr id="23" name="Straight Connector 22"/>
                          <a:cNvCxnSpPr/>
                        </a:nvCxnSpPr>
                        <a:spPr>
                          <a:xfrm rot="5400000">
                            <a:off x="3848100" y="2400300"/>
                            <a:ext cx="990600" cy="0"/>
                          </a:xfrm>
                          <a:prstGeom prst="line">
                            <a:avLst/>
                          </a:prstGeom>
                          <a:ln>
                            <a:solidFill>
                              <a:schemeClr val="tx1"/>
                            </a:solidFill>
                          </a:ln>
                        </a:spPr>
                        <a:style>
                          <a:lnRef idx="1">
                            <a:schemeClr val="accent1"/>
                          </a:lnRef>
                          <a:fillRef idx="0">
                            <a:schemeClr val="accent1"/>
                          </a:fillRef>
                          <a:effectRef idx="0">
                            <a:schemeClr val="accent1"/>
                          </a:effectRef>
                          <a:fontRef idx="minor">
                            <a:schemeClr val="tx1"/>
                          </a:fontRef>
                        </a:style>
                      </a:cxnSp>
                      <a:sp>
                        <a:nvSpPr>
                          <a:cNvPr id="25" name="TextBox 24"/>
                          <a:cNvSpPr txBox="1"/>
                        </a:nvSpPr>
                        <a:spPr>
                          <a:xfrm>
                            <a:off x="4343400" y="2133600"/>
                            <a:ext cx="5334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red</a:t>
                              </a:r>
                              <a:endParaRPr lang="en-US" dirty="0"/>
                            </a:p>
                          </a:txBody>
                          <a:useSpRect/>
                        </a:txSp>
                      </a:sp>
                      <a:sp>
                        <a:nvSpPr>
                          <a:cNvPr id="26" name="TextBox 25"/>
                          <a:cNvSpPr txBox="1"/>
                        </a:nvSpPr>
                        <a:spPr>
                          <a:xfrm>
                            <a:off x="3810000" y="2145268"/>
                            <a:ext cx="6858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gray</a:t>
                              </a:r>
                              <a:endParaRPr lang="en-US" dirty="0"/>
                            </a:p>
                          </a:txBody>
                          <a:useSpRect/>
                        </a:txSp>
                      </a:sp>
                      <a:cxnSp>
                        <a:nvCxnSpPr>
                          <a:cNvPr id="28" name="Straight Arrow Connector 27"/>
                          <a:cNvCxnSpPr/>
                        </a:nvCxnSpPr>
                        <a:spPr>
                          <a:xfrm rot="16200000" flipH="1">
                            <a:off x="3238500" y="1638301"/>
                            <a:ext cx="457200" cy="381000"/>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30" name="TextBox 29"/>
                          <a:cNvSpPr txBox="1"/>
                        </a:nvSpPr>
                        <a:spPr>
                          <a:xfrm>
                            <a:off x="2590800" y="1307068"/>
                            <a:ext cx="15240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Exterior glaze</a:t>
                              </a:r>
                              <a:endParaRPr lang="en-US" dirty="0"/>
                            </a:p>
                          </a:txBody>
                          <a:useSpRect/>
                        </a:txSp>
                      </a:sp>
                      <a:sp>
                        <a:nvSpPr>
                          <a:cNvPr id="31" name="Rectangle 30"/>
                          <a:cNvSpPr/>
                        </a:nvSpPr>
                        <a:spPr>
                          <a:xfrm>
                            <a:off x="3733800" y="1905000"/>
                            <a:ext cx="76200" cy="990600"/>
                          </a:xfrm>
                          <a:prstGeom prst="rect">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32" name="Rectangle 31"/>
                          <a:cNvSpPr/>
                        </a:nvSpPr>
                        <a:spPr>
                          <a:xfrm>
                            <a:off x="1447800" y="1905000"/>
                            <a:ext cx="76200" cy="990600"/>
                          </a:xfrm>
                          <a:prstGeom prst="rect">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grpSp>
                    <a:sp>
                      <a:nvSpPr>
                        <a:cNvPr id="34" name="TextBox 33"/>
                        <a:cNvSpPr txBox="1"/>
                      </a:nvSpPr>
                      <a:spPr>
                        <a:xfrm>
                          <a:off x="1600200" y="2971800"/>
                          <a:ext cx="32766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A			B</a:t>
                            </a:r>
                            <a:endParaRPr lang="en-US" dirty="0"/>
                          </a:p>
                        </a:txBody>
                        <a:useSpRect/>
                      </a:txSp>
                    </a:sp>
                  </a:grpSp>
                </lc:lockedCanvas>
              </a:graphicData>
            </a:graphic>
          </wp:inline>
        </w:drawing>
      </w:r>
      <w:r w:rsidRPr="008B5136">
        <w:rPr>
          <w:rFonts w:ascii="Times New Roman" w:hAnsi="Times New Roman" w:cs="Times New Roman"/>
          <w:sz w:val="24"/>
          <w:szCs w:val="24"/>
        </w:rPr>
        <w:t xml:space="preserve"> </w:t>
      </w:r>
    </w:p>
    <w:p w:rsidR="00F7483C" w:rsidRPr="008B5136" w:rsidRDefault="00F7483C" w:rsidP="008B5136">
      <w:pPr>
        <w:spacing w:after="0"/>
        <w:jc w:val="center"/>
        <w:rPr>
          <w:rFonts w:ascii="Times New Roman" w:hAnsi="Times New Roman" w:cs="Times New Roman"/>
          <w:sz w:val="20"/>
          <w:szCs w:val="20"/>
        </w:rPr>
      </w:pPr>
      <w:r w:rsidRPr="008B5136">
        <w:rPr>
          <w:rFonts w:ascii="Times New Roman" w:hAnsi="Times New Roman" w:cs="Times New Roman"/>
          <w:sz w:val="20"/>
          <w:szCs w:val="20"/>
        </w:rPr>
        <w:t>Figure 1:</w:t>
      </w:r>
      <w:r w:rsidR="008B5136" w:rsidRPr="008B5136">
        <w:rPr>
          <w:rFonts w:ascii="Times New Roman" w:hAnsi="Times New Roman" w:cs="Times New Roman"/>
          <w:sz w:val="20"/>
          <w:szCs w:val="20"/>
        </w:rPr>
        <w:t xml:space="preserve"> The application in the glaze after the first firing would result in a color sequence (due to firing atmosphere) as seen in A.  If the glaze was applied before the first firing, the color sequence would appear like that found in B. [adaptation from B. </w:t>
      </w:r>
      <w:proofErr w:type="spellStart"/>
      <w:r w:rsidR="008B5136" w:rsidRPr="008B5136">
        <w:rPr>
          <w:rFonts w:ascii="Times New Roman" w:hAnsi="Times New Roman" w:cs="Times New Roman"/>
          <w:sz w:val="20"/>
          <w:szCs w:val="20"/>
        </w:rPr>
        <w:t>Velde</w:t>
      </w:r>
      <w:proofErr w:type="spellEnd"/>
      <w:r w:rsidR="008B5136" w:rsidRPr="008B5136">
        <w:rPr>
          <w:rFonts w:ascii="Times New Roman" w:hAnsi="Times New Roman" w:cs="Times New Roman"/>
          <w:sz w:val="20"/>
          <w:szCs w:val="20"/>
        </w:rPr>
        <w:t xml:space="preserve"> and I. </w:t>
      </w:r>
      <w:proofErr w:type="spellStart"/>
      <w:r w:rsidR="008B5136" w:rsidRPr="008B5136">
        <w:rPr>
          <w:rFonts w:ascii="Times New Roman" w:hAnsi="Times New Roman" w:cs="Times New Roman"/>
          <w:sz w:val="20"/>
          <w:szCs w:val="20"/>
        </w:rPr>
        <w:t>Druc</w:t>
      </w:r>
      <w:proofErr w:type="spellEnd"/>
      <w:r w:rsidR="008B5136" w:rsidRPr="008B5136">
        <w:rPr>
          <w:rFonts w:ascii="Times New Roman" w:hAnsi="Times New Roman" w:cs="Times New Roman"/>
          <w:sz w:val="20"/>
          <w:szCs w:val="20"/>
        </w:rPr>
        <w:t>, 1999, 124]</w:t>
      </w:r>
    </w:p>
    <w:p w:rsidR="008B5136" w:rsidRDefault="008B5136" w:rsidP="008B5136">
      <w:pPr>
        <w:spacing w:after="0"/>
        <w:rPr>
          <w:rFonts w:ascii="Times New Roman" w:hAnsi="Times New Roman" w:cs="Times New Roman"/>
          <w:sz w:val="24"/>
          <w:szCs w:val="24"/>
        </w:rPr>
      </w:pPr>
    </w:p>
    <w:p w:rsidR="00C64B23" w:rsidRDefault="00C41FF5" w:rsidP="008B5136">
      <w:pPr>
        <w:spacing w:after="0"/>
        <w:rPr>
          <w:rFonts w:ascii="Times New Roman" w:hAnsi="Times New Roman" w:cs="Times New Roman"/>
          <w:sz w:val="24"/>
          <w:szCs w:val="24"/>
        </w:rPr>
      </w:pPr>
      <w:r>
        <w:rPr>
          <w:rFonts w:ascii="Times New Roman" w:hAnsi="Times New Roman" w:cs="Times New Roman"/>
          <w:sz w:val="24"/>
          <w:szCs w:val="24"/>
        </w:rPr>
        <w:t>Therefore, the</w:t>
      </w:r>
      <w:r w:rsidR="00596005">
        <w:rPr>
          <w:rFonts w:ascii="Times New Roman" w:hAnsi="Times New Roman" w:cs="Times New Roman"/>
          <w:sz w:val="24"/>
          <w:szCs w:val="24"/>
        </w:rPr>
        <w:t>re</w:t>
      </w:r>
      <w:r>
        <w:rPr>
          <w:rFonts w:ascii="Times New Roman" w:hAnsi="Times New Roman" w:cs="Times New Roman"/>
          <w:sz w:val="24"/>
          <w:szCs w:val="24"/>
        </w:rPr>
        <w:t xml:space="preserve"> must have been at least two firings.  The gray core of the ceramic may indicate either that (1) the interior was reduced (which would thus indicate at </w:t>
      </w:r>
      <w:r w:rsidR="00BC5D87">
        <w:rPr>
          <w:rFonts w:ascii="Times New Roman" w:hAnsi="Times New Roman" w:cs="Times New Roman"/>
          <w:sz w:val="24"/>
          <w:szCs w:val="24"/>
        </w:rPr>
        <w:t xml:space="preserve">least </w:t>
      </w:r>
      <w:r>
        <w:rPr>
          <w:rFonts w:ascii="Times New Roman" w:hAnsi="Times New Roman" w:cs="Times New Roman"/>
          <w:sz w:val="24"/>
          <w:szCs w:val="24"/>
        </w:rPr>
        <w:t>3 stages of firing); or (2) the ceramic was fired in an oxidizing atmosphere (red outside) and the core was just not oxidized.  The l</w:t>
      </w:r>
      <w:r w:rsidR="00BC5D87">
        <w:rPr>
          <w:rFonts w:ascii="Times New Roman" w:hAnsi="Times New Roman" w:cs="Times New Roman"/>
          <w:sz w:val="24"/>
          <w:szCs w:val="24"/>
        </w:rPr>
        <w:t>atter option seems more likely.</w:t>
      </w:r>
      <w:r w:rsidR="00777BFF">
        <w:rPr>
          <w:rFonts w:ascii="Times New Roman" w:hAnsi="Times New Roman" w:cs="Times New Roman"/>
          <w:sz w:val="24"/>
          <w:szCs w:val="24"/>
        </w:rPr>
        <w:t xml:space="preserve"> </w:t>
      </w:r>
      <w:r>
        <w:rPr>
          <w:rFonts w:ascii="Times New Roman" w:hAnsi="Times New Roman" w:cs="Times New Roman"/>
          <w:sz w:val="24"/>
          <w:szCs w:val="24"/>
        </w:rPr>
        <w:t xml:space="preserve"> The thickness of the layers indicates the firing intensity, or length of time the ceramic was in the firing.  A longer firing would appear in the cross-section as thicker oxidation layers as seen in Figure 2 (</w:t>
      </w:r>
      <w:r w:rsidRPr="00C41FF5">
        <w:rPr>
          <w:rFonts w:ascii="Times New Roman" w:hAnsi="Times New Roman" w:cs="Times New Roman"/>
          <w:sz w:val="24"/>
          <w:szCs w:val="24"/>
        </w:rPr>
        <w:t xml:space="preserve">B. </w:t>
      </w:r>
      <w:proofErr w:type="spellStart"/>
      <w:r w:rsidRPr="00C41FF5">
        <w:rPr>
          <w:rFonts w:ascii="Times New Roman" w:hAnsi="Times New Roman" w:cs="Times New Roman"/>
          <w:sz w:val="24"/>
          <w:szCs w:val="24"/>
        </w:rPr>
        <w:t>Velde</w:t>
      </w:r>
      <w:proofErr w:type="spellEnd"/>
      <w:r w:rsidRPr="00C41FF5">
        <w:rPr>
          <w:rFonts w:ascii="Times New Roman" w:hAnsi="Times New Roman" w:cs="Times New Roman"/>
          <w:sz w:val="24"/>
          <w:szCs w:val="24"/>
        </w:rPr>
        <w:t xml:space="preserve"> and I. </w:t>
      </w:r>
      <w:proofErr w:type="spellStart"/>
      <w:r w:rsidRPr="00C41FF5">
        <w:rPr>
          <w:rFonts w:ascii="Times New Roman" w:hAnsi="Times New Roman" w:cs="Times New Roman"/>
          <w:sz w:val="24"/>
          <w:szCs w:val="24"/>
        </w:rPr>
        <w:t>Druc</w:t>
      </w:r>
      <w:proofErr w:type="spellEnd"/>
      <w:r w:rsidRPr="00C41FF5">
        <w:rPr>
          <w:rFonts w:ascii="Times New Roman" w:hAnsi="Times New Roman" w:cs="Times New Roman"/>
          <w:sz w:val="24"/>
          <w:szCs w:val="24"/>
        </w:rPr>
        <w:t>, 1999, 123)</w:t>
      </w:r>
      <w:r>
        <w:rPr>
          <w:rFonts w:ascii="Times New Roman" w:hAnsi="Times New Roman" w:cs="Times New Roman"/>
          <w:sz w:val="24"/>
          <w:szCs w:val="24"/>
        </w:rPr>
        <w:t xml:space="preserve">.  </w:t>
      </w:r>
    </w:p>
    <w:p w:rsidR="008B5136" w:rsidRDefault="00C41FF5" w:rsidP="00C41FF5">
      <w:pPr>
        <w:spacing w:after="0"/>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3883660" cy="1743075"/>
            <wp:effectExtent l="19050" t="0" r="254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b="42271"/>
                    <a:stretch>
                      <a:fillRect/>
                    </a:stretch>
                  </pic:blipFill>
                  <pic:spPr bwMode="auto">
                    <a:xfrm>
                      <a:off x="0" y="0"/>
                      <a:ext cx="3883660" cy="1743075"/>
                    </a:xfrm>
                    <a:prstGeom prst="rect">
                      <a:avLst/>
                    </a:prstGeom>
                    <a:noFill/>
                    <a:ln w="9525">
                      <a:noFill/>
                      <a:miter lim="800000"/>
                      <a:headEnd/>
                      <a:tailEnd/>
                    </a:ln>
                  </pic:spPr>
                </pic:pic>
              </a:graphicData>
            </a:graphic>
          </wp:inline>
        </w:drawing>
      </w:r>
    </w:p>
    <w:p w:rsidR="00C41FF5" w:rsidRPr="00C41FF5" w:rsidRDefault="00C41FF5" w:rsidP="00C41FF5">
      <w:pPr>
        <w:spacing w:after="0"/>
        <w:jc w:val="center"/>
        <w:rPr>
          <w:rFonts w:ascii="Times New Roman" w:hAnsi="Times New Roman" w:cs="Times New Roman"/>
          <w:sz w:val="20"/>
          <w:szCs w:val="20"/>
        </w:rPr>
      </w:pPr>
      <w:r w:rsidRPr="00C41FF5">
        <w:rPr>
          <w:rFonts w:ascii="Times New Roman" w:hAnsi="Times New Roman" w:cs="Times New Roman"/>
          <w:sz w:val="20"/>
          <w:szCs w:val="20"/>
        </w:rPr>
        <w:t>Figure 2</w:t>
      </w:r>
      <w:r w:rsidR="00C64B23">
        <w:rPr>
          <w:rFonts w:ascii="Times New Roman" w:hAnsi="Times New Roman" w:cs="Times New Roman"/>
          <w:sz w:val="20"/>
          <w:szCs w:val="20"/>
        </w:rPr>
        <w:t xml:space="preserve"> (</w:t>
      </w:r>
      <w:r w:rsidR="00C64B23" w:rsidRPr="008B5136">
        <w:rPr>
          <w:rFonts w:ascii="Times New Roman" w:hAnsi="Times New Roman" w:cs="Times New Roman"/>
          <w:sz w:val="20"/>
          <w:szCs w:val="20"/>
        </w:rPr>
        <w:t xml:space="preserve">B. </w:t>
      </w:r>
      <w:proofErr w:type="spellStart"/>
      <w:r w:rsidR="00C64B23" w:rsidRPr="008B5136">
        <w:rPr>
          <w:rFonts w:ascii="Times New Roman" w:hAnsi="Times New Roman" w:cs="Times New Roman"/>
          <w:sz w:val="20"/>
          <w:szCs w:val="20"/>
        </w:rPr>
        <w:t>Velde</w:t>
      </w:r>
      <w:proofErr w:type="spellEnd"/>
      <w:r w:rsidR="00C64B23" w:rsidRPr="008B5136">
        <w:rPr>
          <w:rFonts w:ascii="Times New Roman" w:hAnsi="Times New Roman" w:cs="Times New Roman"/>
          <w:sz w:val="20"/>
          <w:szCs w:val="20"/>
        </w:rPr>
        <w:t xml:space="preserve"> and I. </w:t>
      </w:r>
      <w:proofErr w:type="spellStart"/>
      <w:r w:rsidR="00C64B23" w:rsidRPr="008B5136">
        <w:rPr>
          <w:rFonts w:ascii="Times New Roman" w:hAnsi="Times New Roman" w:cs="Times New Roman"/>
          <w:sz w:val="20"/>
          <w:szCs w:val="20"/>
        </w:rPr>
        <w:t>Druc</w:t>
      </w:r>
      <w:proofErr w:type="spellEnd"/>
      <w:r w:rsidR="00C64B23" w:rsidRPr="008B5136">
        <w:rPr>
          <w:rFonts w:ascii="Times New Roman" w:hAnsi="Times New Roman" w:cs="Times New Roman"/>
          <w:sz w:val="20"/>
          <w:szCs w:val="20"/>
        </w:rPr>
        <w:t>, 1999</w:t>
      </w:r>
      <w:r w:rsidR="00C64B23">
        <w:rPr>
          <w:rFonts w:ascii="Times New Roman" w:hAnsi="Times New Roman" w:cs="Times New Roman"/>
          <w:sz w:val="20"/>
          <w:szCs w:val="20"/>
        </w:rPr>
        <w:t>, 123)</w:t>
      </w:r>
      <w:r w:rsidRPr="00C41FF5">
        <w:rPr>
          <w:rFonts w:ascii="Times New Roman" w:hAnsi="Times New Roman" w:cs="Times New Roman"/>
          <w:sz w:val="20"/>
          <w:szCs w:val="20"/>
        </w:rPr>
        <w:t>:</w:t>
      </w:r>
      <w:r w:rsidR="00C64B23">
        <w:rPr>
          <w:rFonts w:ascii="Times New Roman" w:hAnsi="Times New Roman" w:cs="Times New Roman"/>
          <w:sz w:val="20"/>
          <w:szCs w:val="20"/>
        </w:rPr>
        <w:t xml:space="preserve"> The thickness of the color layers gives an indication of the length extent of firing.</w:t>
      </w:r>
    </w:p>
    <w:p w:rsidR="00C41FF5" w:rsidRPr="001838C8" w:rsidRDefault="00596005" w:rsidP="00C41FF5">
      <w:pPr>
        <w:spacing w:after="0"/>
        <w:rPr>
          <w:rFonts w:ascii="Times New Roman" w:hAnsi="Times New Roman" w:cs="Times New Roman"/>
          <w:sz w:val="24"/>
          <w:szCs w:val="24"/>
        </w:rPr>
      </w:pPr>
      <w:r>
        <w:rPr>
          <w:rFonts w:ascii="Times New Roman" w:hAnsi="Times New Roman" w:cs="Times New Roman"/>
          <w:sz w:val="24"/>
          <w:szCs w:val="24"/>
        </w:rPr>
        <w:t xml:space="preserve">A medium level of firing is indicated from the </w:t>
      </w:r>
      <w:proofErr w:type="spellStart"/>
      <w:r>
        <w:rPr>
          <w:rFonts w:ascii="Times New Roman" w:hAnsi="Times New Roman" w:cs="Times New Roman"/>
          <w:sz w:val="24"/>
          <w:szCs w:val="24"/>
        </w:rPr>
        <w:t>equi</w:t>
      </w:r>
      <w:proofErr w:type="spellEnd"/>
      <w:r>
        <w:rPr>
          <w:rFonts w:ascii="Times New Roman" w:hAnsi="Times New Roman" w:cs="Times New Roman"/>
          <w:sz w:val="24"/>
          <w:szCs w:val="24"/>
        </w:rPr>
        <w:t xml:space="preserve">-width of oxidized and </w:t>
      </w:r>
      <w:proofErr w:type="spellStart"/>
      <w:r>
        <w:rPr>
          <w:rFonts w:ascii="Times New Roman" w:hAnsi="Times New Roman" w:cs="Times New Roman"/>
          <w:sz w:val="24"/>
          <w:szCs w:val="24"/>
        </w:rPr>
        <w:t>unoxidized</w:t>
      </w:r>
      <w:proofErr w:type="spellEnd"/>
      <w:r>
        <w:rPr>
          <w:rFonts w:ascii="Times New Roman" w:hAnsi="Times New Roman" w:cs="Times New Roman"/>
          <w:sz w:val="24"/>
          <w:szCs w:val="24"/>
        </w:rPr>
        <w:t xml:space="preserve"> layers.</w:t>
      </w:r>
      <w:r w:rsidR="001838C8">
        <w:rPr>
          <w:rFonts w:ascii="Times New Roman" w:hAnsi="Times New Roman" w:cs="Times New Roman"/>
          <w:sz w:val="24"/>
          <w:szCs w:val="24"/>
        </w:rPr>
        <w:t xml:space="preserve">  The red color exhibited by the ceramic is due to oxidized ferric oxides; the red color is “generally not stable if fired to temperature above 1000</w:t>
      </w:r>
      <w:r w:rsidR="001838C8">
        <w:rPr>
          <w:rFonts w:ascii="Times New Roman" w:hAnsi="Times New Roman" w:cs="Times New Roman"/>
          <w:sz w:val="24"/>
          <w:szCs w:val="24"/>
          <w:vertAlign w:val="superscript"/>
        </w:rPr>
        <w:t>o</w:t>
      </w:r>
      <w:r w:rsidR="001838C8">
        <w:rPr>
          <w:rFonts w:ascii="Times New Roman" w:hAnsi="Times New Roman" w:cs="Times New Roman"/>
          <w:sz w:val="24"/>
          <w:szCs w:val="24"/>
        </w:rPr>
        <w:t>C” (P. Rice, 2005).  Therefore, the ceramic was likely not fired above this temperature.</w:t>
      </w:r>
      <w:r w:rsidR="00BC5D87">
        <w:rPr>
          <w:rFonts w:ascii="Times New Roman" w:hAnsi="Times New Roman" w:cs="Times New Roman"/>
          <w:sz w:val="24"/>
          <w:szCs w:val="24"/>
        </w:rPr>
        <w:t xml:space="preserve">  It is uncertain, however, if the clear glaze was applied before or after the second firing.</w:t>
      </w:r>
    </w:p>
    <w:p w:rsidR="00596005" w:rsidRDefault="00596005" w:rsidP="00C41FF5">
      <w:pPr>
        <w:spacing w:after="0"/>
        <w:rPr>
          <w:rFonts w:ascii="Times New Roman" w:hAnsi="Times New Roman" w:cs="Times New Roman"/>
          <w:sz w:val="24"/>
          <w:szCs w:val="24"/>
        </w:rPr>
      </w:pPr>
      <w:r>
        <w:rPr>
          <w:rFonts w:ascii="Times New Roman" w:hAnsi="Times New Roman" w:cs="Times New Roman"/>
          <w:sz w:val="24"/>
          <w:szCs w:val="24"/>
        </w:rPr>
        <w:tab/>
        <w:t>The ceramic does have temper inclusions.  The advantages of temper include: (1) an increase in workability of the clay; (2) limit the extent of shrinkage in the drying and firing processes; and (3) provides thermal shock resistance.</w:t>
      </w:r>
      <w:r w:rsidR="00891220">
        <w:rPr>
          <w:rFonts w:ascii="Times New Roman" w:hAnsi="Times New Roman" w:cs="Times New Roman"/>
          <w:sz w:val="24"/>
          <w:szCs w:val="24"/>
        </w:rPr>
        <w:t xml:space="preserve">  The vessel was shattered at some point and has since been glued back together.  Two small pieces have been chipped from the rim; it is from these areas, that a more detailed description of the firing process was able to be discerned.  From a materials science perspective, the damaged to ceramics occurs because of the low fracture toughness of the material.</w:t>
      </w:r>
      <w:r w:rsidR="00B77958">
        <w:rPr>
          <w:rFonts w:ascii="Times New Roman" w:hAnsi="Times New Roman" w:cs="Times New Roman"/>
          <w:sz w:val="24"/>
          <w:szCs w:val="24"/>
        </w:rPr>
        <w:t xml:space="preserve">  Fracture toughness is a property of a material that describes a material’s ability to contain a crack to resist fracture (in other words, the critical value of the stress intensity factor for which crack extension occurs). Fracturing is dictated by flaws – by voids, surface cracks, etc.  Ceramics’ strength is commanded by the size of the flaw and the fracture toughness. The presence of temper, while it has its advantages, it decreases the overall strength of the vessel.</w:t>
      </w:r>
    </w:p>
    <w:p w:rsidR="00777F2A" w:rsidRDefault="00777F2A" w:rsidP="00C41FF5">
      <w:pPr>
        <w:spacing w:after="0"/>
        <w:rPr>
          <w:rFonts w:ascii="Times New Roman" w:hAnsi="Times New Roman" w:cs="Times New Roman"/>
          <w:sz w:val="24"/>
          <w:szCs w:val="24"/>
        </w:rPr>
      </w:pPr>
      <w:r>
        <w:rPr>
          <w:rFonts w:ascii="Times New Roman" w:hAnsi="Times New Roman" w:cs="Times New Roman"/>
          <w:sz w:val="24"/>
          <w:szCs w:val="24"/>
        </w:rPr>
        <w:tab/>
        <w:t xml:space="preserve">There are many ways an engineer may approach the study of archaeological ceramics.  An engineer may study the </w:t>
      </w:r>
      <w:r w:rsidR="0071638A">
        <w:rPr>
          <w:rFonts w:ascii="Times New Roman" w:hAnsi="Times New Roman" w:cs="Times New Roman"/>
          <w:sz w:val="24"/>
          <w:szCs w:val="24"/>
        </w:rPr>
        <w:t xml:space="preserve">clay structure (XRD) and temper (i.e. </w:t>
      </w:r>
      <w:proofErr w:type="spellStart"/>
      <w:r w:rsidR="00052C5B">
        <w:rPr>
          <w:rFonts w:ascii="Times New Roman" w:hAnsi="Times New Roman" w:cs="Times New Roman"/>
          <w:sz w:val="24"/>
          <w:szCs w:val="24"/>
        </w:rPr>
        <w:t>petrographic</w:t>
      </w:r>
      <w:proofErr w:type="spellEnd"/>
      <w:r w:rsidR="00052C5B">
        <w:rPr>
          <w:rFonts w:ascii="Times New Roman" w:hAnsi="Times New Roman" w:cs="Times New Roman"/>
          <w:sz w:val="24"/>
          <w:szCs w:val="24"/>
        </w:rPr>
        <w:t xml:space="preserve"> analysis) </w:t>
      </w:r>
      <w:r w:rsidR="0071638A">
        <w:rPr>
          <w:rFonts w:ascii="Times New Roman" w:hAnsi="Times New Roman" w:cs="Times New Roman"/>
          <w:sz w:val="24"/>
          <w:szCs w:val="24"/>
        </w:rPr>
        <w:t>for firing temperature and atmosphere conditions.  He may try to reproduce the material and further study the effects of such things as firing temperature and temper inclusions on crack propag</w:t>
      </w:r>
      <w:r w:rsidR="00052C5B">
        <w:rPr>
          <w:rFonts w:ascii="Times New Roman" w:hAnsi="Times New Roman" w:cs="Times New Roman"/>
          <w:sz w:val="24"/>
          <w:szCs w:val="24"/>
        </w:rPr>
        <w:t>ation and toughness.  Materials science may offer key information on technological choice.</w:t>
      </w:r>
    </w:p>
    <w:p w:rsidR="00C41FF5" w:rsidRDefault="00C41FF5" w:rsidP="00C41FF5">
      <w:pPr>
        <w:spacing w:after="0"/>
        <w:rPr>
          <w:rFonts w:ascii="Times New Roman" w:hAnsi="Times New Roman" w:cs="Times New Roman"/>
          <w:sz w:val="24"/>
          <w:szCs w:val="24"/>
        </w:rPr>
      </w:pPr>
    </w:p>
    <w:p w:rsidR="004A4060" w:rsidRPr="004A4060" w:rsidRDefault="004A4060" w:rsidP="004A4060">
      <w:pPr>
        <w:rPr>
          <w:rFonts w:ascii="Times New Roman" w:hAnsi="Times New Roman" w:cs="Times New Roman"/>
          <w:b/>
          <w:sz w:val="24"/>
          <w:szCs w:val="24"/>
        </w:rPr>
      </w:pPr>
      <w:r w:rsidRPr="004A4060">
        <w:rPr>
          <w:rFonts w:ascii="Times New Roman" w:hAnsi="Times New Roman" w:cs="Times New Roman"/>
          <w:b/>
          <w:sz w:val="24"/>
          <w:szCs w:val="24"/>
        </w:rPr>
        <w:t>Part II. Social and historical context</w:t>
      </w:r>
    </w:p>
    <w:p w:rsidR="004A4060" w:rsidRPr="004A4060" w:rsidRDefault="004A4060" w:rsidP="004A4060">
      <w:pPr>
        <w:spacing w:after="0"/>
        <w:rPr>
          <w:rFonts w:ascii="Times New Roman" w:hAnsi="Times New Roman" w:cs="Times New Roman"/>
          <w:sz w:val="24"/>
          <w:szCs w:val="24"/>
        </w:rPr>
      </w:pPr>
      <w:r w:rsidRPr="004A4060">
        <w:rPr>
          <w:rFonts w:ascii="Times New Roman" w:hAnsi="Times New Roman" w:cs="Times New Roman"/>
          <w:sz w:val="24"/>
          <w:szCs w:val="24"/>
        </w:rPr>
        <w:tab/>
        <w:t xml:space="preserve">This pot is labeled as being from Acoma Pueblo in western New Mexico, one of a string of diverse pueblos across the Arizona and New Mexico that make up an important part of the indigenous fabric of the Southwest, all of which have old and continuing pottery traditions. According to the </w:t>
      </w:r>
      <w:proofErr w:type="spellStart"/>
      <w:r w:rsidRPr="004A4060">
        <w:rPr>
          <w:rFonts w:ascii="Times New Roman" w:hAnsi="Times New Roman" w:cs="Times New Roman"/>
          <w:sz w:val="24"/>
          <w:szCs w:val="24"/>
        </w:rPr>
        <w:t>Haak’u</w:t>
      </w:r>
      <w:proofErr w:type="spellEnd"/>
      <w:r w:rsidRPr="004A4060">
        <w:rPr>
          <w:rFonts w:ascii="Times New Roman" w:hAnsi="Times New Roman" w:cs="Times New Roman"/>
          <w:sz w:val="24"/>
          <w:szCs w:val="24"/>
        </w:rPr>
        <w:t xml:space="preserve"> Museum website, the pueblo is among the oldest continually inhabited places on the continent, first settled around 1150AD (</w:t>
      </w:r>
      <w:proofErr w:type="spellStart"/>
      <w:r w:rsidRPr="004A4060">
        <w:rPr>
          <w:rFonts w:ascii="Times New Roman" w:hAnsi="Times New Roman" w:cs="Times New Roman"/>
          <w:sz w:val="24"/>
          <w:szCs w:val="24"/>
        </w:rPr>
        <w:t>Haak’u</w:t>
      </w:r>
      <w:proofErr w:type="spellEnd"/>
      <w:r w:rsidRPr="004A4060">
        <w:rPr>
          <w:rFonts w:ascii="Times New Roman" w:hAnsi="Times New Roman" w:cs="Times New Roman"/>
          <w:sz w:val="24"/>
          <w:szCs w:val="24"/>
        </w:rPr>
        <w:t xml:space="preserve"> Museum 2011).  The dating on this </w:t>
      </w:r>
      <w:r w:rsidRPr="004A4060">
        <w:rPr>
          <w:rFonts w:ascii="Times New Roman" w:hAnsi="Times New Roman" w:cs="Times New Roman"/>
          <w:sz w:val="24"/>
          <w:szCs w:val="24"/>
        </w:rPr>
        <w:lastRenderedPageBreak/>
        <w:t xml:space="preserve">pot is extremely uncertain.  The </w:t>
      </w:r>
      <w:proofErr w:type="spellStart"/>
      <w:r w:rsidRPr="004A4060">
        <w:rPr>
          <w:rFonts w:ascii="Times New Roman" w:hAnsi="Times New Roman" w:cs="Times New Roman"/>
          <w:sz w:val="24"/>
          <w:szCs w:val="24"/>
        </w:rPr>
        <w:t>Haffenreffer</w:t>
      </w:r>
      <w:proofErr w:type="spellEnd"/>
      <w:r w:rsidRPr="004A4060">
        <w:rPr>
          <w:rFonts w:ascii="Times New Roman" w:hAnsi="Times New Roman" w:cs="Times New Roman"/>
          <w:sz w:val="24"/>
          <w:szCs w:val="24"/>
        </w:rPr>
        <w:t xml:space="preserve"> Museum’s own records describe it as an ethnographic object, manufactured and purchased between 1965 and 1969 before being donated along with a “gift of Navaho [sic.] </w:t>
      </w:r>
      <w:proofErr w:type="gramStart"/>
      <w:r w:rsidRPr="004A4060">
        <w:rPr>
          <w:rFonts w:ascii="Times New Roman" w:hAnsi="Times New Roman" w:cs="Times New Roman"/>
          <w:sz w:val="24"/>
          <w:szCs w:val="24"/>
        </w:rPr>
        <w:t>textiles</w:t>
      </w:r>
      <w:proofErr w:type="gramEnd"/>
      <w:r w:rsidRPr="004A4060">
        <w:rPr>
          <w:rFonts w:ascii="Times New Roman" w:hAnsi="Times New Roman" w:cs="Times New Roman"/>
          <w:sz w:val="24"/>
          <w:szCs w:val="24"/>
        </w:rPr>
        <w:t>, Pueblo pottery, and Southwestern jewelry” in 1975” (</w:t>
      </w:r>
      <w:proofErr w:type="spellStart"/>
      <w:r w:rsidRPr="004A4060">
        <w:rPr>
          <w:rFonts w:ascii="Times New Roman" w:hAnsi="Times New Roman" w:cs="Times New Roman"/>
          <w:sz w:val="24"/>
          <w:szCs w:val="24"/>
        </w:rPr>
        <w:t>Haffenreffer</w:t>
      </w:r>
      <w:proofErr w:type="spellEnd"/>
      <w:r w:rsidRPr="004A4060">
        <w:rPr>
          <w:rFonts w:ascii="Times New Roman" w:hAnsi="Times New Roman" w:cs="Times New Roman"/>
          <w:sz w:val="24"/>
          <w:szCs w:val="24"/>
        </w:rPr>
        <w:t xml:space="preserve"> Museum 2011).  However, the fact that this is a shattered and refit piece (making it less valuable as an ethnographic object made for use or sale) indicates that it might be from an archaeological site instead. If this is an archaeological artifact, it carries no information context and may have</w:t>
      </w:r>
      <w:r w:rsidR="0071638A">
        <w:rPr>
          <w:rFonts w:ascii="Times New Roman" w:hAnsi="Times New Roman" w:cs="Times New Roman"/>
          <w:sz w:val="24"/>
          <w:szCs w:val="24"/>
        </w:rPr>
        <w:t xml:space="preserve"> been</w:t>
      </w:r>
      <w:r w:rsidRPr="004A4060">
        <w:rPr>
          <w:rFonts w:ascii="Times New Roman" w:hAnsi="Times New Roman" w:cs="Times New Roman"/>
          <w:sz w:val="24"/>
          <w:szCs w:val="24"/>
        </w:rPr>
        <w:t xml:space="preserve"> looted for profit. As such, the label we were handed in class suggests its date as “Pueblo III or later” which encompasses literally the entire history of Acoma Pueblo from 1150 to present. On the other hand, the combination of a red base and a cream upper register under a clear glaze and a rough-textured red interior seems most analogous to a bowl viewable at </w:t>
      </w:r>
      <w:hyperlink r:id="rId6" w:history="1">
        <w:r w:rsidRPr="004A4060">
          <w:rPr>
            <w:rFonts w:ascii="Times New Roman" w:hAnsi="Times New Roman" w:cs="Times New Roman"/>
            <w:sz w:val="24"/>
            <w:szCs w:val="24"/>
          </w:rPr>
          <w:t>http://www.matthewchaseltd.com/pueblopottery/mcpot.htm</w:t>
        </w:r>
      </w:hyperlink>
      <w:r w:rsidRPr="004A4060">
        <w:rPr>
          <w:rFonts w:ascii="Times New Roman" w:hAnsi="Times New Roman" w:cs="Times New Roman"/>
          <w:sz w:val="24"/>
          <w:szCs w:val="24"/>
        </w:rPr>
        <w:t>, which is dated to 1940 (Chase 2007).</w:t>
      </w:r>
    </w:p>
    <w:p w:rsidR="004A4060" w:rsidRPr="004A4060" w:rsidRDefault="004A4060" w:rsidP="004A4060">
      <w:pPr>
        <w:spacing w:after="0"/>
        <w:rPr>
          <w:rFonts w:ascii="Times New Roman" w:hAnsi="Times New Roman" w:cs="Times New Roman"/>
          <w:sz w:val="24"/>
          <w:szCs w:val="24"/>
        </w:rPr>
      </w:pPr>
      <w:r w:rsidRPr="004A4060">
        <w:rPr>
          <w:rFonts w:ascii="Times New Roman" w:hAnsi="Times New Roman" w:cs="Times New Roman"/>
          <w:sz w:val="24"/>
          <w:szCs w:val="24"/>
        </w:rPr>
        <w:tab/>
        <w:t>A large round bowl like this one could have been useful for a variety of purposes such as serving, mixing--as with maize dough--or perhaps storage.  There is no evidence of charring on the exterior to suggest that it was ever used</w:t>
      </w:r>
      <w:r w:rsidR="00777BFF">
        <w:rPr>
          <w:rFonts w:ascii="Times New Roman" w:hAnsi="Times New Roman" w:cs="Times New Roman"/>
          <w:sz w:val="24"/>
          <w:szCs w:val="24"/>
        </w:rPr>
        <w:t xml:space="preserve"> as cooking ware.  As far as it</w:t>
      </w:r>
      <w:r w:rsidRPr="004A4060">
        <w:rPr>
          <w:rFonts w:ascii="Times New Roman" w:hAnsi="Times New Roman" w:cs="Times New Roman"/>
          <w:sz w:val="24"/>
          <w:szCs w:val="24"/>
        </w:rPr>
        <w:t>s use in religious or ceremonial life, many ceramics directly associated with private reli</w:t>
      </w:r>
      <w:r w:rsidR="00777BFF">
        <w:rPr>
          <w:rFonts w:ascii="Times New Roman" w:hAnsi="Times New Roman" w:cs="Times New Roman"/>
          <w:sz w:val="24"/>
          <w:szCs w:val="24"/>
        </w:rPr>
        <w:t>gious life of the Pueblos are a</w:t>
      </w:r>
      <w:r w:rsidRPr="004A4060">
        <w:rPr>
          <w:rFonts w:ascii="Times New Roman" w:hAnsi="Times New Roman" w:cs="Times New Roman"/>
          <w:sz w:val="24"/>
          <w:szCs w:val="24"/>
        </w:rPr>
        <w:t xml:space="preserve"> secret and closed to outsiders as the </w:t>
      </w:r>
      <w:proofErr w:type="spellStart"/>
      <w:r w:rsidRPr="004A4060">
        <w:rPr>
          <w:rFonts w:ascii="Times New Roman" w:hAnsi="Times New Roman" w:cs="Times New Roman"/>
          <w:sz w:val="24"/>
          <w:szCs w:val="24"/>
        </w:rPr>
        <w:t>kivas</w:t>
      </w:r>
      <w:proofErr w:type="spellEnd"/>
      <w:r w:rsidRPr="004A4060">
        <w:rPr>
          <w:rFonts w:ascii="Times New Roman" w:hAnsi="Times New Roman" w:cs="Times New Roman"/>
          <w:sz w:val="24"/>
          <w:szCs w:val="24"/>
        </w:rPr>
        <w:t xml:space="preserve"> (underground chambers within villages) that those ceremonies take place in (Dillingham 1992, 73).  Although this vessel is painted </w:t>
      </w:r>
      <w:r w:rsidR="00777BFF">
        <w:rPr>
          <w:rFonts w:ascii="Times New Roman" w:hAnsi="Times New Roman" w:cs="Times New Roman"/>
          <w:sz w:val="24"/>
          <w:szCs w:val="24"/>
        </w:rPr>
        <w:t xml:space="preserve">with </w:t>
      </w:r>
      <w:r w:rsidRPr="004A4060">
        <w:rPr>
          <w:rFonts w:ascii="Times New Roman" w:hAnsi="Times New Roman" w:cs="Times New Roman"/>
          <w:sz w:val="24"/>
          <w:szCs w:val="24"/>
        </w:rPr>
        <w:t xml:space="preserve">a variety of colors, the design of the surface treatment is not particularly elaborate, fine, or even symmetrical when compared to other examples of Acoma pottery, such as the contemporary pieces at a </w:t>
      </w:r>
      <w:proofErr w:type="spellStart"/>
      <w:r w:rsidRPr="004A4060">
        <w:rPr>
          <w:rFonts w:ascii="Times New Roman" w:hAnsi="Times New Roman" w:cs="Times New Roman"/>
          <w:sz w:val="24"/>
          <w:szCs w:val="24"/>
        </w:rPr>
        <w:t>Tuscon</w:t>
      </w:r>
      <w:proofErr w:type="spellEnd"/>
      <w:r w:rsidRPr="004A4060">
        <w:rPr>
          <w:rFonts w:ascii="Times New Roman" w:hAnsi="Times New Roman" w:cs="Times New Roman"/>
          <w:sz w:val="24"/>
          <w:szCs w:val="24"/>
        </w:rPr>
        <w:t xml:space="preserve"> art dealer at </w:t>
      </w:r>
      <w:hyperlink r:id="rId7" w:history="1">
        <w:r w:rsidRPr="004A4060">
          <w:rPr>
            <w:rFonts w:ascii="Times New Roman" w:hAnsi="Times New Roman" w:cs="Times New Roman"/>
            <w:sz w:val="24"/>
            <w:szCs w:val="24"/>
          </w:rPr>
          <w:t>http://www.canyonart.</w:t>
        </w:r>
        <w:r w:rsidRPr="004A4060">
          <w:rPr>
            <w:rFonts w:ascii="Times New Roman" w:hAnsi="Times New Roman" w:cs="Times New Roman"/>
            <w:sz w:val="24"/>
            <w:szCs w:val="24"/>
          </w:rPr>
          <w:t>c</w:t>
        </w:r>
        <w:r w:rsidRPr="004A4060">
          <w:rPr>
            <w:rFonts w:ascii="Times New Roman" w:hAnsi="Times New Roman" w:cs="Times New Roman"/>
            <w:sz w:val="24"/>
            <w:szCs w:val="24"/>
          </w:rPr>
          <w:t>om/acoma.htm</w:t>
        </w:r>
      </w:hyperlink>
      <w:r w:rsidRPr="004A4060">
        <w:rPr>
          <w:rFonts w:ascii="Times New Roman" w:hAnsi="Times New Roman" w:cs="Times New Roman"/>
          <w:sz w:val="24"/>
          <w:szCs w:val="24"/>
        </w:rPr>
        <w:t xml:space="preserve"> (Canyon Country Originals 2011). Therefore, although it had to be fired </w:t>
      </w:r>
      <w:r w:rsidR="00777BFF">
        <w:rPr>
          <w:rFonts w:ascii="Times New Roman" w:hAnsi="Times New Roman" w:cs="Times New Roman"/>
          <w:sz w:val="24"/>
          <w:szCs w:val="24"/>
        </w:rPr>
        <w:t>at least two</w:t>
      </w:r>
      <w:r w:rsidRPr="004A4060">
        <w:rPr>
          <w:rFonts w:ascii="Times New Roman" w:hAnsi="Times New Roman" w:cs="Times New Roman"/>
          <w:sz w:val="24"/>
          <w:szCs w:val="24"/>
        </w:rPr>
        <w:t xml:space="preserve"> times, the time labor investment that went into this design is probably lower and this piece would have been more utilitarian than prestigious. </w:t>
      </w:r>
    </w:p>
    <w:p w:rsidR="004A4060" w:rsidRPr="004A4060" w:rsidRDefault="004A4060" w:rsidP="004A4060">
      <w:pPr>
        <w:spacing w:after="0"/>
        <w:rPr>
          <w:rFonts w:ascii="Times New Roman" w:hAnsi="Times New Roman" w:cs="Times New Roman"/>
          <w:sz w:val="24"/>
          <w:szCs w:val="24"/>
        </w:rPr>
      </w:pPr>
      <w:r w:rsidRPr="004A4060">
        <w:rPr>
          <w:rFonts w:ascii="Times New Roman" w:hAnsi="Times New Roman" w:cs="Times New Roman"/>
          <w:sz w:val="24"/>
          <w:szCs w:val="24"/>
        </w:rPr>
        <w:tab/>
        <w:t xml:space="preserve">Having archaeological context for this item might determine this for certain, or its association with ceremonial locations or objects might controvert the preliminary interpretation. For example, finding this piece broken in a </w:t>
      </w:r>
      <w:proofErr w:type="spellStart"/>
      <w:r w:rsidRPr="004A4060">
        <w:rPr>
          <w:rFonts w:ascii="Times New Roman" w:hAnsi="Times New Roman" w:cs="Times New Roman"/>
          <w:sz w:val="24"/>
          <w:szCs w:val="24"/>
        </w:rPr>
        <w:t>midden</w:t>
      </w:r>
      <w:proofErr w:type="spellEnd"/>
      <w:r w:rsidRPr="004A4060">
        <w:rPr>
          <w:rFonts w:ascii="Times New Roman" w:hAnsi="Times New Roman" w:cs="Times New Roman"/>
          <w:sz w:val="24"/>
          <w:szCs w:val="24"/>
        </w:rPr>
        <w:t xml:space="preserve"> deposit, perhaps with other daily objects like broken </w:t>
      </w:r>
      <w:proofErr w:type="spellStart"/>
      <w:r w:rsidRPr="004A4060">
        <w:rPr>
          <w:rFonts w:ascii="Times New Roman" w:hAnsi="Times New Roman" w:cs="Times New Roman"/>
          <w:sz w:val="24"/>
          <w:szCs w:val="24"/>
        </w:rPr>
        <w:t>manos</w:t>
      </w:r>
      <w:proofErr w:type="spellEnd"/>
      <w:r w:rsidRPr="004A4060">
        <w:rPr>
          <w:rFonts w:ascii="Times New Roman" w:hAnsi="Times New Roman" w:cs="Times New Roman"/>
          <w:sz w:val="24"/>
          <w:szCs w:val="24"/>
        </w:rPr>
        <w:t xml:space="preserve"> and </w:t>
      </w:r>
      <w:proofErr w:type="spellStart"/>
      <w:r w:rsidRPr="004A4060">
        <w:rPr>
          <w:rFonts w:ascii="Times New Roman" w:hAnsi="Times New Roman" w:cs="Times New Roman"/>
          <w:sz w:val="24"/>
          <w:szCs w:val="24"/>
        </w:rPr>
        <w:t>metates</w:t>
      </w:r>
      <w:proofErr w:type="spellEnd"/>
      <w:r w:rsidRPr="004A4060">
        <w:rPr>
          <w:rFonts w:ascii="Times New Roman" w:hAnsi="Times New Roman" w:cs="Times New Roman"/>
          <w:sz w:val="24"/>
          <w:szCs w:val="24"/>
        </w:rPr>
        <w:t xml:space="preserve"> (grinding implements) would make this pot easily interpretable as an everyday object from an Acoma household, discarded when it shattered.  Analysis of residues, such as maize flour embedded in the pores of the interior, could support this interpretation.  However, such distinction between the sacred and the utilitarian may be somewhat overwrought in the Pueblo context, since the potter’s art was widely respected as an “integral and even sacred part of daily life” (Dillingham 1992, 8). Besides, without archaeological context any interpretation is tenuous.</w:t>
      </w:r>
    </w:p>
    <w:p w:rsidR="008B5136" w:rsidRDefault="008B5136" w:rsidP="008B5136">
      <w:pPr>
        <w:spacing w:after="0"/>
        <w:rPr>
          <w:rFonts w:ascii="Times New Roman" w:hAnsi="Times New Roman" w:cs="Times New Roman"/>
          <w:sz w:val="24"/>
          <w:szCs w:val="24"/>
        </w:rPr>
      </w:pPr>
    </w:p>
    <w:p w:rsidR="008B5136" w:rsidRDefault="008B5136" w:rsidP="008B5136">
      <w:pPr>
        <w:spacing w:after="0"/>
        <w:rPr>
          <w:rFonts w:ascii="Times New Roman" w:hAnsi="Times New Roman" w:cs="Times New Roman"/>
          <w:sz w:val="24"/>
          <w:szCs w:val="24"/>
        </w:rPr>
      </w:pPr>
      <w:r>
        <w:rPr>
          <w:rFonts w:ascii="Times New Roman" w:hAnsi="Times New Roman" w:cs="Times New Roman"/>
          <w:sz w:val="24"/>
          <w:szCs w:val="24"/>
        </w:rPr>
        <w:t>References</w:t>
      </w:r>
    </w:p>
    <w:p w:rsidR="00777F2A" w:rsidRPr="004A4060" w:rsidRDefault="00777F2A" w:rsidP="00777F2A">
      <w:pPr>
        <w:ind w:left="720" w:hanging="720"/>
        <w:rPr>
          <w:rFonts w:ascii="Times New Roman" w:hAnsi="Times New Roman" w:cs="Times New Roman"/>
          <w:sz w:val="24"/>
          <w:szCs w:val="24"/>
        </w:rPr>
      </w:pPr>
      <w:proofErr w:type="gramStart"/>
      <w:r w:rsidRPr="004A4060">
        <w:rPr>
          <w:rFonts w:ascii="Times New Roman" w:hAnsi="Times New Roman" w:cs="Times New Roman"/>
          <w:sz w:val="24"/>
          <w:szCs w:val="24"/>
        </w:rPr>
        <w:t>Canyon Country Originals.</w:t>
      </w:r>
      <w:proofErr w:type="gramEnd"/>
      <w:r w:rsidRPr="004A4060">
        <w:rPr>
          <w:rFonts w:ascii="Times New Roman" w:hAnsi="Times New Roman" w:cs="Times New Roman"/>
          <w:sz w:val="24"/>
          <w:szCs w:val="24"/>
        </w:rPr>
        <w:t xml:space="preserve"> 2011. “Acoma Pottery.” </w:t>
      </w:r>
      <w:proofErr w:type="gramStart"/>
      <w:r w:rsidRPr="004A4060">
        <w:rPr>
          <w:rFonts w:ascii="Times New Roman" w:hAnsi="Times New Roman" w:cs="Times New Roman"/>
          <w:sz w:val="24"/>
          <w:szCs w:val="24"/>
        </w:rPr>
        <w:t>Accessed 22 March.</w:t>
      </w:r>
      <w:proofErr w:type="gramEnd"/>
      <w:r w:rsidRPr="004A4060">
        <w:rPr>
          <w:rFonts w:ascii="Times New Roman" w:hAnsi="Times New Roman" w:cs="Times New Roman"/>
          <w:sz w:val="24"/>
          <w:szCs w:val="24"/>
        </w:rPr>
        <w:t xml:space="preserve"> </w:t>
      </w:r>
      <w:hyperlink r:id="rId8" w:history="1">
        <w:r w:rsidRPr="004A4060">
          <w:rPr>
            <w:rStyle w:val="Hyperlink"/>
            <w:rFonts w:ascii="Times New Roman" w:hAnsi="Times New Roman" w:cs="Times New Roman"/>
            <w:sz w:val="24"/>
            <w:szCs w:val="24"/>
          </w:rPr>
          <w:t>http://www.canyonart.com/acoma.htm</w:t>
        </w:r>
      </w:hyperlink>
      <w:r w:rsidRPr="004A4060">
        <w:rPr>
          <w:rFonts w:ascii="Times New Roman" w:hAnsi="Times New Roman" w:cs="Times New Roman"/>
          <w:sz w:val="24"/>
          <w:szCs w:val="24"/>
        </w:rPr>
        <w:t>.</w:t>
      </w:r>
    </w:p>
    <w:p w:rsidR="00777F2A" w:rsidRPr="004A4060" w:rsidRDefault="00777F2A" w:rsidP="00777F2A">
      <w:pPr>
        <w:ind w:left="720" w:hanging="720"/>
        <w:rPr>
          <w:rFonts w:ascii="Times New Roman" w:hAnsi="Times New Roman" w:cs="Times New Roman"/>
          <w:sz w:val="24"/>
          <w:szCs w:val="24"/>
        </w:rPr>
      </w:pPr>
      <w:r w:rsidRPr="004A4060">
        <w:rPr>
          <w:rFonts w:ascii="Times New Roman" w:hAnsi="Times New Roman" w:cs="Times New Roman"/>
          <w:sz w:val="24"/>
          <w:szCs w:val="24"/>
        </w:rPr>
        <w:t xml:space="preserve">Chase, </w:t>
      </w:r>
      <w:proofErr w:type="spellStart"/>
      <w:r w:rsidRPr="004A4060">
        <w:rPr>
          <w:rFonts w:ascii="Times New Roman" w:hAnsi="Times New Roman" w:cs="Times New Roman"/>
          <w:sz w:val="24"/>
          <w:szCs w:val="24"/>
        </w:rPr>
        <w:t>Mattehew</w:t>
      </w:r>
      <w:proofErr w:type="spellEnd"/>
      <w:r w:rsidRPr="004A4060">
        <w:rPr>
          <w:rFonts w:ascii="Times New Roman" w:hAnsi="Times New Roman" w:cs="Times New Roman"/>
          <w:sz w:val="24"/>
          <w:szCs w:val="24"/>
        </w:rPr>
        <w:t xml:space="preserve">. 2007. “Historic Pottery.” </w:t>
      </w:r>
      <w:proofErr w:type="gramStart"/>
      <w:r w:rsidRPr="004A4060">
        <w:rPr>
          <w:rFonts w:ascii="Times New Roman" w:hAnsi="Times New Roman" w:cs="Times New Roman"/>
          <w:sz w:val="24"/>
          <w:szCs w:val="24"/>
        </w:rPr>
        <w:t>Accessed 22 March.</w:t>
      </w:r>
      <w:proofErr w:type="gramEnd"/>
      <w:r w:rsidRPr="004A4060">
        <w:rPr>
          <w:rFonts w:ascii="Times New Roman" w:hAnsi="Times New Roman" w:cs="Times New Roman"/>
          <w:sz w:val="24"/>
          <w:szCs w:val="24"/>
        </w:rPr>
        <w:t xml:space="preserve"> </w:t>
      </w:r>
      <w:hyperlink r:id="rId9" w:history="1">
        <w:r w:rsidRPr="004A4060">
          <w:rPr>
            <w:rStyle w:val="Hyperlink"/>
            <w:rFonts w:ascii="Times New Roman" w:hAnsi="Times New Roman" w:cs="Times New Roman"/>
            <w:sz w:val="24"/>
            <w:szCs w:val="24"/>
          </w:rPr>
          <w:t>http://www.matthewchaseltd.com/pueblopottery/mcpot.htm</w:t>
        </w:r>
      </w:hyperlink>
      <w:r w:rsidRPr="004A4060">
        <w:rPr>
          <w:rFonts w:ascii="Times New Roman" w:hAnsi="Times New Roman" w:cs="Times New Roman"/>
          <w:sz w:val="24"/>
          <w:szCs w:val="24"/>
        </w:rPr>
        <w:t>.</w:t>
      </w:r>
    </w:p>
    <w:p w:rsidR="00777F2A" w:rsidRPr="004A4060" w:rsidRDefault="00777F2A" w:rsidP="00777F2A">
      <w:pPr>
        <w:ind w:left="720" w:hanging="720"/>
        <w:rPr>
          <w:rFonts w:ascii="Times New Roman" w:hAnsi="Times New Roman" w:cs="Times New Roman"/>
          <w:sz w:val="24"/>
          <w:szCs w:val="24"/>
        </w:rPr>
      </w:pPr>
      <w:r w:rsidRPr="004A4060">
        <w:rPr>
          <w:rFonts w:ascii="Times New Roman" w:hAnsi="Times New Roman" w:cs="Times New Roman"/>
          <w:sz w:val="24"/>
          <w:szCs w:val="24"/>
        </w:rPr>
        <w:lastRenderedPageBreak/>
        <w:t xml:space="preserve">Dillingham, Rick. 1992.  </w:t>
      </w:r>
      <w:r w:rsidRPr="004A4060">
        <w:rPr>
          <w:rFonts w:ascii="Times New Roman" w:hAnsi="Times New Roman" w:cs="Times New Roman"/>
          <w:i/>
          <w:sz w:val="24"/>
          <w:szCs w:val="24"/>
        </w:rPr>
        <w:t>Acoma and Laguna Pottery</w:t>
      </w:r>
      <w:r w:rsidRPr="004A4060">
        <w:rPr>
          <w:rFonts w:ascii="Times New Roman" w:hAnsi="Times New Roman" w:cs="Times New Roman"/>
          <w:sz w:val="24"/>
          <w:szCs w:val="24"/>
        </w:rPr>
        <w:t xml:space="preserve">. Santa Fe: School of American Research Press. </w:t>
      </w:r>
    </w:p>
    <w:p w:rsidR="00777F2A" w:rsidRPr="004A4060" w:rsidRDefault="00777F2A" w:rsidP="00777F2A">
      <w:pPr>
        <w:ind w:left="720" w:hanging="720"/>
        <w:rPr>
          <w:rFonts w:ascii="Times New Roman" w:hAnsi="Times New Roman" w:cs="Times New Roman"/>
          <w:sz w:val="24"/>
          <w:szCs w:val="24"/>
        </w:rPr>
      </w:pPr>
      <w:proofErr w:type="spellStart"/>
      <w:proofErr w:type="gramStart"/>
      <w:r w:rsidRPr="004A4060">
        <w:rPr>
          <w:rFonts w:ascii="Times New Roman" w:hAnsi="Times New Roman" w:cs="Times New Roman"/>
          <w:sz w:val="24"/>
          <w:szCs w:val="24"/>
        </w:rPr>
        <w:t>Haak’u</w:t>
      </w:r>
      <w:proofErr w:type="spellEnd"/>
      <w:r w:rsidRPr="004A4060">
        <w:rPr>
          <w:rFonts w:ascii="Times New Roman" w:hAnsi="Times New Roman" w:cs="Times New Roman"/>
          <w:sz w:val="24"/>
          <w:szCs w:val="24"/>
        </w:rPr>
        <w:t xml:space="preserve"> Museum.</w:t>
      </w:r>
      <w:proofErr w:type="gramEnd"/>
      <w:r w:rsidRPr="004A4060">
        <w:rPr>
          <w:rFonts w:ascii="Times New Roman" w:hAnsi="Times New Roman" w:cs="Times New Roman"/>
          <w:sz w:val="24"/>
          <w:szCs w:val="24"/>
        </w:rPr>
        <w:t xml:space="preserve"> 2011. “Acoma History.” </w:t>
      </w:r>
      <w:proofErr w:type="gramStart"/>
      <w:r w:rsidRPr="004A4060">
        <w:rPr>
          <w:rFonts w:ascii="Times New Roman" w:hAnsi="Times New Roman" w:cs="Times New Roman"/>
          <w:sz w:val="24"/>
          <w:szCs w:val="24"/>
        </w:rPr>
        <w:t>Accessed 22 March.</w:t>
      </w:r>
      <w:proofErr w:type="gramEnd"/>
      <w:r w:rsidRPr="004A4060">
        <w:rPr>
          <w:rFonts w:ascii="Times New Roman" w:hAnsi="Times New Roman" w:cs="Times New Roman"/>
          <w:sz w:val="24"/>
          <w:szCs w:val="24"/>
        </w:rPr>
        <w:t xml:space="preserve"> </w:t>
      </w:r>
      <w:hyperlink r:id="rId10" w:history="1">
        <w:r w:rsidRPr="004A4060">
          <w:rPr>
            <w:rStyle w:val="Hyperlink"/>
            <w:rFonts w:ascii="Times New Roman" w:hAnsi="Times New Roman" w:cs="Times New Roman"/>
            <w:sz w:val="24"/>
            <w:szCs w:val="24"/>
          </w:rPr>
          <w:t>http://museum.acomaskycity.org/acoma-history</w:t>
        </w:r>
      </w:hyperlink>
      <w:r w:rsidRPr="004A4060">
        <w:rPr>
          <w:rFonts w:ascii="Times New Roman" w:hAnsi="Times New Roman" w:cs="Times New Roman"/>
          <w:sz w:val="24"/>
          <w:szCs w:val="24"/>
        </w:rPr>
        <w:t xml:space="preserve"> .</w:t>
      </w:r>
    </w:p>
    <w:p w:rsidR="00777F2A" w:rsidRPr="004A4060" w:rsidRDefault="00777F2A" w:rsidP="004A4060">
      <w:pPr>
        <w:ind w:left="720" w:hanging="720"/>
        <w:rPr>
          <w:rFonts w:ascii="Times New Roman" w:hAnsi="Times New Roman" w:cs="Times New Roman"/>
          <w:sz w:val="24"/>
          <w:szCs w:val="24"/>
        </w:rPr>
      </w:pPr>
      <w:proofErr w:type="spellStart"/>
      <w:proofErr w:type="gramStart"/>
      <w:r w:rsidRPr="004A4060">
        <w:rPr>
          <w:rFonts w:ascii="Times New Roman" w:hAnsi="Times New Roman" w:cs="Times New Roman"/>
          <w:sz w:val="24"/>
          <w:szCs w:val="24"/>
        </w:rPr>
        <w:t>Haffenreffer</w:t>
      </w:r>
      <w:proofErr w:type="spellEnd"/>
      <w:r w:rsidRPr="004A4060">
        <w:rPr>
          <w:rFonts w:ascii="Times New Roman" w:hAnsi="Times New Roman" w:cs="Times New Roman"/>
          <w:sz w:val="24"/>
          <w:szCs w:val="24"/>
        </w:rPr>
        <w:t xml:space="preserve"> Museum.</w:t>
      </w:r>
      <w:proofErr w:type="gramEnd"/>
      <w:r w:rsidRPr="004A4060">
        <w:rPr>
          <w:rFonts w:ascii="Times New Roman" w:hAnsi="Times New Roman" w:cs="Times New Roman"/>
          <w:sz w:val="24"/>
          <w:szCs w:val="24"/>
        </w:rPr>
        <w:t xml:space="preserve"> 2011.  “Complete Object Report 76-33.” </w:t>
      </w:r>
      <w:proofErr w:type="spellStart"/>
      <w:proofErr w:type="gramStart"/>
      <w:r w:rsidRPr="004A4060">
        <w:rPr>
          <w:rFonts w:ascii="Times New Roman" w:hAnsi="Times New Roman" w:cs="Times New Roman"/>
          <w:sz w:val="24"/>
          <w:szCs w:val="24"/>
        </w:rPr>
        <w:t>Haffenreffer</w:t>
      </w:r>
      <w:proofErr w:type="spellEnd"/>
      <w:r w:rsidRPr="004A4060">
        <w:rPr>
          <w:rFonts w:ascii="Times New Roman" w:hAnsi="Times New Roman" w:cs="Times New Roman"/>
          <w:sz w:val="24"/>
          <w:szCs w:val="24"/>
        </w:rPr>
        <w:t xml:space="preserve"> Museum Catalog.</w:t>
      </w:r>
      <w:proofErr w:type="gramEnd"/>
    </w:p>
    <w:p w:rsidR="00777F2A" w:rsidRPr="004A4060" w:rsidRDefault="004A4060" w:rsidP="008B5136">
      <w:pPr>
        <w:spacing w:after="0"/>
        <w:rPr>
          <w:rFonts w:ascii="Times New Roman" w:hAnsi="Times New Roman" w:cs="Times New Roman"/>
          <w:sz w:val="24"/>
          <w:szCs w:val="24"/>
        </w:rPr>
      </w:pPr>
      <w:r w:rsidRPr="004A4060">
        <w:rPr>
          <w:rFonts w:ascii="Times New Roman" w:hAnsi="Times New Roman" w:cs="Times New Roman"/>
          <w:sz w:val="24"/>
          <w:szCs w:val="24"/>
        </w:rPr>
        <w:t xml:space="preserve">Rice, P. 2005 </w:t>
      </w:r>
      <w:r w:rsidRPr="004A4060">
        <w:rPr>
          <w:rFonts w:ascii="Times New Roman" w:hAnsi="Times New Roman" w:cs="Times New Roman"/>
          <w:i/>
          <w:sz w:val="24"/>
          <w:szCs w:val="24"/>
        </w:rPr>
        <w:t>Pottery Analysis: A Sourcebook</w:t>
      </w:r>
      <w:r w:rsidRPr="004A4060">
        <w:rPr>
          <w:rFonts w:ascii="Times New Roman" w:hAnsi="Times New Roman" w:cs="Times New Roman"/>
          <w:sz w:val="24"/>
          <w:szCs w:val="24"/>
        </w:rPr>
        <w:t xml:space="preserve">. </w:t>
      </w:r>
      <w:proofErr w:type="gramStart"/>
      <w:r w:rsidRPr="004A4060">
        <w:rPr>
          <w:rFonts w:ascii="Times New Roman" w:hAnsi="Times New Roman" w:cs="Times New Roman"/>
          <w:sz w:val="24"/>
          <w:szCs w:val="24"/>
        </w:rPr>
        <w:t>University of Chicago Press.</w:t>
      </w:r>
      <w:proofErr w:type="gramEnd"/>
    </w:p>
    <w:p w:rsidR="004A4060" w:rsidRPr="004A4060" w:rsidRDefault="004A4060" w:rsidP="008B5136">
      <w:pPr>
        <w:spacing w:after="0"/>
        <w:rPr>
          <w:rFonts w:ascii="Times New Roman" w:hAnsi="Times New Roman" w:cs="Times New Roman"/>
          <w:sz w:val="24"/>
          <w:szCs w:val="24"/>
        </w:rPr>
      </w:pPr>
    </w:p>
    <w:p w:rsidR="008B5136" w:rsidRPr="004A4060" w:rsidRDefault="008B5136" w:rsidP="004A4060">
      <w:pPr>
        <w:spacing w:after="0"/>
        <w:ind w:left="720" w:hanging="720"/>
        <w:rPr>
          <w:rFonts w:ascii="Times New Roman" w:hAnsi="Times New Roman" w:cs="Times New Roman"/>
          <w:sz w:val="24"/>
          <w:szCs w:val="24"/>
        </w:rPr>
      </w:pPr>
      <w:proofErr w:type="spellStart"/>
      <w:r w:rsidRPr="004A4060">
        <w:rPr>
          <w:rFonts w:ascii="Times New Roman" w:hAnsi="Times New Roman" w:cs="Times New Roman"/>
          <w:sz w:val="24"/>
          <w:szCs w:val="24"/>
        </w:rPr>
        <w:t>Velde</w:t>
      </w:r>
      <w:proofErr w:type="spellEnd"/>
      <w:r w:rsidRPr="004A4060">
        <w:rPr>
          <w:rFonts w:ascii="Times New Roman" w:hAnsi="Times New Roman" w:cs="Times New Roman"/>
          <w:sz w:val="24"/>
          <w:szCs w:val="24"/>
        </w:rPr>
        <w:t xml:space="preserve">, B. and I.C. </w:t>
      </w:r>
      <w:proofErr w:type="spellStart"/>
      <w:r w:rsidRPr="004A4060">
        <w:rPr>
          <w:rFonts w:ascii="Times New Roman" w:hAnsi="Times New Roman" w:cs="Times New Roman"/>
          <w:sz w:val="24"/>
          <w:szCs w:val="24"/>
        </w:rPr>
        <w:t>Druc</w:t>
      </w:r>
      <w:proofErr w:type="spellEnd"/>
      <w:r w:rsidRPr="004A4060">
        <w:rPr>
          <w:rFonts w:ascii="Times New Roman" w:hAnsi="Times New Roman" w:cs="Times New Roman"/>
          <w:sz w:val="24"/>
          <w:szCs w:val="24"/>
        </w:rPr>
        <w:t xml:space="preserve"> 1999 </w:t>
      </w:r>
      <w:r w:rsidRPr="004A4060">
        <w:rPr>
          <w:rFonts w:ascii="Times New Roman" w:hAnsi="Times New Roman" w:cs="Times New Roman"/>
          <w:i/>
          <w:iCs/>
          <w:sz w:val="24"/>
          <w:szCs w:val="24"/>
        </w:rPr>
        <w:t xml:space="preserve">Archaeological Ceramic Materials: Origin and Utilization. </w:t>
      </w:r>
      <w:proofErr w:type="gramStart"/>
      <w:r w:rsidRPr="004A4060">
        <w:rPr>
          <w:rFonts w:ascii="Times New Roman" w:hAnsi="Times New Roman" w:cs="Times New Roman"/>
          <w:sz w:val="24"/>
          <w:szCs w:val="24"/>
        </w:rPr>
        <w:t>Springer-</w:t>
      </w:r>
      <w:proofErr w:type="spellStart"/>
      <w:r w:rsidRPr="004A4060">
        <w:rPr>
          <w:rFonts w:ascii="Times New Roman" w:hAnsi="Times New Roman" w:cs="Times New Roman"/>
          <w:sz w:val="24"/>
          <w:szCs w:val="24"/>
        </w:rPr>
        <w:t>Verlag</w:t>
      </w:r>
      <w:proofErr w:type="spellEnd"/>
      <w:r w:rsidRPr="004A4060">
        <w:rPr>
          <w:rFonts w:ascii="Times New Roman" w:hAnsi="Times New Roman" w:cs="Times New Roman"/>
          <w:sz w:val="24"/>
          <w:szCs w:val="24"/>
        </w:rPr>
        <w:t xml:space="preserve"> Berlin </w:t>
      </w:r>
      <w:proofErr w:type="spellStart"/>
      <w:r w:rsidRPr="004A4060">
        <w:rPr>
          <w:rFonts w:ascii="Times New Roman" w:hAnsi="Times New Roman" w:cs="Times New Roman"/>
          <w:sz w:val="24"/>
          <w:szCs w:val="24"/>
        </w:rPr>
        <w:t>Heidelbert</w:t>
      </w:r>
      <w:proofErr w:type="spellEnd"/>
      <w:r w:rsidR="001838C8" w:rsidRPr="004A4060">
        <w:rPr>
          <w:rFonts w:ascii="Times New Roman" w:hAnsi="Times New Roman" w:cs="Times New Roman"/>
          <w:sz w:val="24"/>
          <w:szCs w:val="24"/>
        </w:rPr>
        <w:t>.</w:t>
      </w:r>
      <w:proofErr w:type="gramEnd"/>
    </w:p>
    <w:p w:rsidR="001838C8" w:rsidRDefault="001838C8" w:rsidP="008B5136">
      <w:pPr>
        <w:spacing w:after="0"/>
        <w:rPr>
          <w:rFonts w:ascii="Times New Roman" w:hAnsi="Times New Roman" w:cs="Times New Roman"/>
          <w:sz w:val="24"/>
          <w:szCs w:val="24"/>
        </w:rPr>
      </w:pPr>
    </w:p>
    <w:sectPr w:rsidR="001838C8" w:rsidSect="00EE26B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80D3B"/>
    <w:rsid w:val="00052C5B"/>
    <w:rsid w:val="001838C8"/>
    <w:rsid w:val="002B435E"/>
    <w:rsid w:val="003036AC"/>
    <w:rsid w:val="004A4060"/>
    <w:rsid w:val="00596005"/>
    <w:rsid w:val="0071638A"/>
    <w:rsid w:val="00777BFF"/>
    <w:rsid w:val="00777F2A"/>
    <w:rsid w:val="00880D3B"/>
    <w:rsid w:val="00891220"/>
    <w:rsid w:val="008B5136"/>
    <w:rsid w:val="00B04188"/>
    <w:rsid w:val="00B77958"/>
    <w:rsid w:val="00BC5D87"/>
    <w:rsid w:val="00C41FF5"/>
    <w:rsid w:val="00C64B23"/>
    <w:rsid w:val="00EE26B0"/>
    <w:rsid w:val="00F748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6B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748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483C"/>
    <w:rPr>
      <w:rFonts w:ascii="Tahoma" w:hAnsi="Tahoma" w:cs="Tahoma"/>
      <w:sz w:val="16"/>
      <w:szCs w:val="16"/>
    </w:rPr>
  </w:style>
  <w:style w:type="character" w:styleId="Emphasis">
    <w:name w:val="Emphasis"/>
    <w:basedOn w:val="DefaultParagraphFont"/>
    <w:uiPriority w:val="20"/>
    <w:qFormat/>
    <w:rsid w:val="008B5136"/>
    <w:rPr>
      <w:i/>
      <w:iCs/>
    </w:rPr>
  </w:style>
  <w:style w:type="character" w:styleId="Hyperlink">
    <w:name w:val="Hyperlink"/>
    <w:basedOn w:val="DefaultParagraphFont"/>
    <w:rsid w:val="00777F2A"/>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anyonart.com/acoma.htm" TargetMode="External"/><Relationship Id="rId3" Type="http://schemas.openxmlformats.org/officeDocument/2006/relationships/settings" Target="settings.xml"/><Relationship Id="rId7" Type="http://schemas.openxmlformats.org/officeDocument/2006/relationships/hyperlink" Target="http://www.canyonart.com/acoma.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matthewchaseltd.com/pueblopottery/mcpot.htm" TargetMode="External"/><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hyperlink" Target="http://museum.acomaskycity.org/acoma-history" TargetMode="External"/><Relationship Id="rId4" Type="http://schemas.openxmlformats.org/officeDocument/2006/relationships/webSettings" Target="webSettings.xml"/><Relationship Id="rId9" Type="http://schemas.openxmlformats.org/officeDocument/2006/relationships/hyperlink" Target="http://www.matthewchaseltd.com/pueblopottery/mcpot.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4686FF-BEA9-466C-8C82-2E5A9A294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1307</Words>
  <Characters>7454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Susan</cp:lastModifiedBy>
  <cp:revision>7</cp:revision>
  <dcterms:created xsi:type="dcterms:W3CDTF">2011-03-23T16:42:00Z</dcterms:created>
  <dcterms:modified xsi:type="dcterms:W3CDTF">2011-03-23T16:58:00Z</dcterms:modified>
</cp:coreProperties>
</file>