
<file path=[Content_Types].xml><?xml version="1.0" encoding="utf-8"?>
<Types xmlns="http://schemas.openxmlformats.org/package/2006/content-types">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Override PartName="/customXml/itemProps1.xml" ContentType="application/vnd.openxmlformats-officedocument.customXmlPropertie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ACB" w:rsidRPr="00E21F17" w:rsidRDefault="00545ACB" w:rsidP="00545ACB">
      <w:pPr>
        <w:spacing w:line="480" w:lineRule="auto"/>
      </w:pPr>
      <w:r w:rsidRPr="00E21F17">
        <w:fldChar w:fldCharType="begin"/>
      </w:r>
      <w:r w:rsidRPr="00E21F17">
        <w:instrText xml:space="preserve"> CONTACT _Con-3D02F6D718 \c \s \l </w:instrText>
      </w:r>
      <w:r w:rsidRPr="00E21F17">
        <w:fldChar w:fldCharType="separate"/>
      </w:r>
      <w:r w:rsidR="00C5699D" w:rsidRPr="00E21F17">
        <w:t>Jonathan Migliori</w:t>
      </w:r>
      <w:r w:rsidRPr="00E21F17">
        <w:fldChar w:fldCharType="end"/>
      </w:r>
    </w:p>
    <w:p w:rsidR="00545ACB" w:rsidRPr="00E21F17" w:rsidRDefault="00545ACB" w:rsidP="00545ACB">
      <w:pPr>
        <w:spacing w:line="480" w:lineRule="auto"/>
      </w:pPr>
      <w:r w:rsidRPr="00E21F17">
        <w:t>Professor Harmanşah</w:t>
      </w:r>
    </w:p>
    <w:p w:rsidR="00545ACB" w:rsidRPr="00E21F17" w:rsidRDefault="00545ACB" w:rsidP="00545ACB">
      <w:pPr>
        <w:spacing w:line="480" w:lineRule="auto"/>
      </w:pPr>
      <w:r w:rsidRPr="00E21F17">
        <w:t>Ancient West Asian Studies 0800</w:t>
      </w:r>
    </w:p>
    <w:p w:rsidR="00545ACB" w:rsidRPr="00E21F17" w:rsidRDefault="00545ACB" w:rsidP="00545ACB">
      <w:pPr>
        <w:spacing w:line="480" w:lineRule="auto"/>
      </w:pPr>
      <w:r w:rsidRPr="00E21F17">
        <w:t>4 December 2009</w:t>
      </w:r>
    </w:p>
    <w:p w:rsidR="00EE211A" w:rsidRPr="00E21F17" w:rsidRDefault="00F23A08" w:rsidP="00545ACB">
      <w:pPr>
        <w:spacing w:line="480" w:lineRule="auto"/>
        <w:jc w:val="center"/>
      </w:pPr>
      <w:r>
        <w:t>A Strong Foundation</w:t>
      </w:r>
      <w:r w:rsidR="00A96655" w:rsidRPr="00E21F17">
        <w:t xml:space="preserve">: </w:t>
      </w:r>
      <w:r w:rsidR="00961E5A" w:rsidRPr="00E21F17">
        <w:t>The Brief Life of Çatalhöyük Figurine 12401.X7</w:t>
      </w:r>
    </w:p>
    <w:p w:rsidR="00FE10AB" w:rsidRDefault="00EE211A" w:rsidP="001C1970">
      <w:pPr>
        <w:spacing w:line="480" w:lineRule="auto"/>
      </w:pPr>
      <w:r w:rsidRPr="00E21F17">
        <w:tab/>
      </w:r>
      <w:r w:rsidR="001C1970" w:rsidRPr="00E21F17">
        <w:t>Çatalhöyük</w:t>
      </w:r>
      <w:r w:rsidR="00156725" w:rsidRPr="00E21F17">
        <w:t xml:space="preserve">, a Neolithic village inhabited from around 7400–6000 BC, </w:t>
      </w:r>
      <w:r w:rsidR="001C1970" w:rsidRPr="00E21F17">
        <w:t>was brought into the public consciousness by James Mellaart’s</w:t>
      </w:r>
      <w:r w:rsidR="00CA4720" w:rsidRPr="00E21F17">
        <w:t xml:space="preserve"> excavations in the 1960s</w:t>
      </w:r>
      <w:r w:rsidR="00156725" w:rsidRPr="00E21F17">
        <w:t xml:space="preserve"> (Hodder 2006: </w:t>
      </w:r>
      <w:r w:rsidR="00A96655" w:rsidRPr="00E21F17">
        <w:t>7)</w:t>
      </w:r>
      <w:r w:rsidR="00CA4720" w:rsidRPr="00E21F17">
        <w:t>.</w:t>
      </w:r>
      <w:r w:rsidR="00474164" w:rsidRPr="00E21F17">
        <w:t xml:space="preserve"> </w:t>
      </w:r>
      <w:r w:rsidR="00C53064">
        <w:t xml:space="preserve">When excavations were resumed in 1993 under Ian Hodder, </w:t>
      </w:r>
      <w:r w:rsidR="000A2870">
        <w:t>many of Mall</w:t>
      </w:r>
      <w:r w:rsidR="00134367">
        <w:t>aart’s conclusions were questioned</w:t>
      </w:r>
      <w:r w:rsidR="000A2870">
        <w:t xml:space="preserve">, namely his interpretation of the figurines found throughout the site. </w:t>
      </w:r>
      <w:r w:rsidR="006722A6">
        <w:t xml:space="preserve">Mellaart connected the more spectacular figurines with </w:t>
      </w:r>
      <w:r w:rsidR="00112B4E">
        <w:t xml:space="preserve">special ritual areas and thus interpreted them </w:t>
      </w:r>
      <w:r w:rsidR="004C0AF9">
        <w:t xml:space="preserve">as cult statues (Meskell et al. 2008: </w:t>
      </w:r>
      <w:r w:rsidR="00156BB1">
        <w:t xml:space="preserve">146). Recent </w:t>
      </w:r>
      <w:r w:rsidR="00F66B3D">
        <w:t xml:space="preserve">excavations have found no conclusive evidence of </w:t>
      </w:r>
      <w:r w:rsidR="00134367">
        <w:t xml:space="preserve">what Mellaart called </w:t>
      </w:r>
      <w:r w:rsidR="00F66B3D">
        <w:t>“shrines</w:t>
      </w:r>
      <w:r w:rsidR="006071F1">
        <w:t>,</w:t>
      </w:r>
      <w:r w:rsidR="00F66B3D">
        <w:t xml:space="preserve">” and instead </w:t>
      </w:r>
      <w:r w:rsidR="006071F1">
        <w:t xml:space="preserve">have noted that figurines are </w:t>
      </w:r>
      <w:r w:rsidR="00F028A4">
        <w:t>consistently found in secondary deposits, namely fills</w:t>
      </w:r>
      <w:r w:rsidR="00EA2142">
        <w:t xml:space="preserve"> in abandoned houses and middens</w:t>
      </w:r>
      <w:r w:rsidR="00F028A4">
        <w:t xml:space="preserve"> (ibid.). </w:t>
      </w:r>
      <w:r w:rsidR="00F235FE">
        <w:t xml:space="preserve">In this paper I will examine one such </w:t>
      </w:r>
      <w:r w:rsidR="00EA2142">
        <w:t xml:space="preserve">clay </w:t>
      </w:r>
      <w:r w:rsidR="00F235FE">
        <w:t xml:space="preserve">figurine, labeled 12401.X7, </w:t>
      </w:r>
      <w:r w:rsidR="00C6692C">
        <w:t xml:space="preserve">and </w:t>
      </w:r>
      <w:r w:rsidR="00F235FE">
        <w:t xml:space="preserve">its </w:t>
      </w:r>
      <w:r w:rsidR="00C6692C">
        <w:t>use-life a</w:t>
      </w:r>
      <w:r w:rsidR="006D7E35">
        <w:t xml:space="preserve">s well as its symbolic meaning through the lens of its </w:t>
      </w:r>
      <w:r w:rsidR="0015234B">
        <w:t xml:space="preserve">depositional </w:t>
      </w:r>
      <w:r w:rsidR="006D7E35">
        <w:t>context and relationship to other finds at Çatalhöyük. Instead</w:t>
      </w:r>
      <w:r w:rsidR="00A05E2F">
        <w:t xml:space="preserve"> of being a religious idol, this figurine was a</w:t>
      </w:r>
      <w:r w:rsidR="002B4469">
        <w:t>s much a process as a</w:t>
      </w:r>
      <w:r w:rsidR="00A05E2F">
        <w:t xml:space="preserve"> practical object</w:t>
      </w:r>
      <w:r w:rsidR="00FE10AB">
        <w:t xml:space="preserve"> used to represent and ensure </w:t>
      </w:r>
      <w:r w:rsidR="000064E5">
        <w:t xml:space="preserve">both </w:t>
      </w:r>
      <w:r w:rsidR="00FE10AB">
        <w:t>prosperity and abundance.</w:t>
      </w:r>
    </w:p>
    <w:p w:rsidR="00C077E5" w:rsidRDefault="00FE10AB" w:rsidP="001C1970">
      <w:pPr>
        <w:spacing w:line="480" w:lineRule="auto"/>
      </w:pPr>
      <w:r>
        <w:tab/>
      </w:r>
      <w:r w:rsidR="00051AF8">
        <w:t>First, it is important to understand the</w:t>
      </w:r>
      <w:r w:rsidR="007D6659">
        <w:t xml:space="preserve"> object and where it was found. The</w:t>
      </w:r>
      <w:r w:rsidR="002B4469">
        <w:t xml:space="preserve"> figurine is anthropomorphic, most likely a</w:t>
      </w:r>
      <w:r w:rsidR="007D6659">
        <w:t xml:space="preserve"> female.</w:t>
      </w:r>
      <w:r w:rsidR="002B4469">
        <w:t xml:space="preserve"> The front</w:t>
      </w:r>
      <w:r w:rsidR="002470DF">
        <w:t xml:space="preserve"> is in the form of a corpulent body, with</w:t>
      </w:r>
      <w:r w:rsidR="00D43FA0">
        <w:t xml:space="preserve"> a</w:t>
      </w:r>
      <w:r w:rsidR="002470DF">
        <w:t xml:space="preserve"> pronounced </w:t>
      </w:r>
      <w:r w:rsidR="00613287">
        <w:t>belly and br</w:t>
      </w:r>
      <w:r w:rsidR="000064E5">
        <w:t xml:space="preserve">easts. The legs are broken but </w:t>
      </w:r>
      <w:r w:rsidR="00613287">
        <w:t>seem to originally have been crossed.</w:t>
      </w:r>
      <w:r w:rsidR="000064E5">
        <w:t xml:space="preserve"> There are traces of red paint in concentric </w:t>
      </w:r>
      <w:r w:rsidR="006148F6">
        <w:t>arcs between the breasts. The head is missing, and was made to be detachable. The back is skeletal, with clearly outline</w:t>
      </w:r>
      <w:r w:rsidR="00D43FA0">
        <w:t>d</w:t>
      </w:r>
      <w:r w:rsidR="006148F6">
        <w:t xml:space="preserve"> vertebrae, hips, </w:t>
      </w:r>
      <w:r w:rsidR="009F2D46">
        <w:t>scapulae</w:t>
      </w:r>
      <w:r w:rsidR="006148F6">
        <w:t>, and ribs.</w:t>
      </w:r>
      <w:r w:rsidR="00EA2142">
        <w:t xml:space="preserve"> It was found in an ashy area next to a wall</w:t>
      </w:r>
      <w:r w:rsidR="00A358B0">
        <w:t>, which also featured burnt mud brick, carbonized seeds, and bits of pottery and bone (</w:t>
      </w:r>
      <w:r w:rsidR="00F14451">
        <w:t>Unit 12401 report).</w:t>
      </w:r>
    </w:p>
    <w:p w:rsidR="00A72F35" w:rsidRDefault="00C077E5" w:rsidP="001C1970">
      <w:pPr>
        <w:spacing w:line="480" w:lineRule="auto"/>
      </w:pPr>
      <w:r>
        <w:tab/>
      </w:r>
      <w:r w:rsidR="00C52A54">
        <w:t>As with all archaeological materials, understanding the context in which this figurine was found is</w:t>
      </w:r>
      <w:r w:rsidR="00772619">
        <w:t xml:space="preserve"> </w:t>
      </w:r>
      <w:r w:rsidR="00D73727">
        <w:t>critical</w:t>
      </w:r>
      <w:r w:rsidR="00772619">
        <w:t xml:space="preserve"> to understanding its use.</w:t>
      </w:r>
      <w:r w:rsidR="00D73727">
        <w:t xml:space="preserve"> </w:t>
      </w:r>
      <w:r w:rsidR="003639EA">
        <w:t xml:space="preserve">This figurine was found in what was either a midden or abandonment fill. </w:t>
      </w:r>
      <w:r w:rsidR="00007FC0">
        <w:t>Houses in Çatalhöyük had roughly 45 to 90 year life spans, and would be routinely filled in</w:t>
      </w:r>
      <w:r w:rsidR="00996A73">
        <w:t xml:space="preserve"> (sometimes with midden soil)</w:t>
      </w:r>
      <w:r w:rsidR="00007FC0">
        <w:t xml:space="preserve"> and </w:t>
      </w:r>
      <w:r w:rsidR="00996A73">
        <w:t>built over</w:t>
      </w:r>
      <w:r w:rsidR="00007FC0">
        <w:t xml:space="preserve"> (Meskell et al. 2008: </w:t>
      </w:r>
      <w:r w:rsidR="00996A73">
        <w:t xml:space="preserve">144). </w:t>
      </w:r>
      <w:r w:rsidR="00A41C37">
        <w:t xml:space="preserve">Given that this figurine was found in a context next to an internal wall, it seems more likely that </w:t>
      </w:r>
      <w:r w:rsidR="00413379">
        <w:t>this was an abandonment fill.</w:t>
      </w:r>
    </w:p>
    <w:p w:rsidR="0054500A" w:rsidRDefault="00537432" w:rsidP="001C1970">
      <w:pPr>
        <w:spacing w:line="480" w:lineRule="auto"/>
      </w:pPr>
      <w:r>
        <w:tab/>
      </w:r>
      <w:r w:rsidR="00401F4A">
        <w:t xml:space="preserve">The </w:t>
      </w:r>
      <w:r w:rsidR="0086794A">
        <w:t>nature of the other objects in the fill indicates the day-to-day use of the fig</w:t>
      </w:r>
      <w:r w:rsidR="00F05401">
        <w:t xml:space="preserve">urine. Bits of bone and pottery were, as they are now, garbage, and are unlikely to be found with a revered cult statue. </w:t>
      </w:r>
      <w:r w:rsidR="007C741C">
        <w:t xml:space="preserve">This indicates that figurine had fulfilled its purpose and was thrown away, unless the act of being discarded was its purpose. </w:t>
      </w:r>
      <w:r w:rsidR="007E494D">
        <w:t xml:space="preserve">Meskell discusses the possible </w:t>
      </w:r>
      <w:r w:rsidR="0054500A">
        <w:t>significance of these figurines to the daily lives of their makers:</w:t>
      </w:r>
    </w:p>
    <w:p w:rsidR="00BF4F17" w:rsidRDefault="0054500A" w:rsidP="00F86862">
      <w:pPr>
        <w:ind w:left="1440"/>
        <w:rPr>
          <w:sz w:val="20"/>
        </w:rPr>
      </w:pPr>
      <w:r w:rsidRPr="0054500A">
        <w:rPr>
          <w:sz w:val="20"/>
        </w:rPr>
        <w:t>Per</w:t>
      </w:r>
      <w:r>
        <w:rPr>
          <w:sz w:val="20"/>
        </w:rPr>
        <w:t>haps ease of manufacture and ubiquity meant that they were</w:t>
      </w:r>
      <w:r w:rsidR="000E6961">
        <w:rPr>
          <w:sz w:val="20"/>
        </w:rPr>
        <w:t xml:space="preserve"> commonplace and easily </w:t>
      </w:r>
      <w:r w:rsidR="00F86862">
        <w:rPr>
          <w:sz w:val="20"/>
        </w:rPr>
        <w:t>reproducible</w:t>
      </w:r>
      <w:r w:rsidR="000E6961">
        <w:rPr>
          <w:sz w:val="20"/>
        </w:rPr>
        <w:t>, thus not ‘special’. Conversely, an argument could be marsha</w:t>
      </w:r>
      <w:r w:rsidR="0019596B">
        <w:rPr>
          <w:sz w:val="20"/>
        </w:rPr>
        <w:t>l</w:t>
      </w:r>
      <w:r w:rsidR="000E6961">
        <w:rPr>
          <w:sz w:val="20"/>
        </w:rPr>
        <w:t>led to their very frequency and quotidian characteristics</w:t>
      </w:r>
      <w:r w:rsidR="0019596B">
        <w:rPr>
          <w:sz w:val="20"/>
        </w:rPr>
        <w:t xml:space="preserve"> suggest that they were central to the Çatalhöyük lifeworld: they may not have operated in some separate sphere of ‘religion’ </w:t>
      </w:r>
      <w:r w:rsidR="00F86862">
        <w:rPr>
          <w:sz w:val="20"/>
        </w:rPr>
        <w:t>or ‘</w:t>
      </w:r>
      <w:r w:rsidR="00AD233B">
        <w:rPr>
          <w:sz w:val="20"/>
        </w:rPr>
        <w:t>ancestor worship’</w:t>
      </w:r>
      <w:r w:rsidR="00F86862">
        <w:rPr>
          <w:sz w:val="20"/>
        </w:rPr>
        <w:t>, but, rather, in the practice and negotiation of everyday life.</w:t>
      </w:r>
    </w:p>
    <w:p w:rsidR="007E494D" w:rsidRPr="0054500A" w:rsidRDefault="00BF4F17" w:rsidP="00BF4F17">
      <w:pPr>
        <w:spacing w:line="480" w:lineRule="auto"/>
        <w:ind w:left="1440"/>
        <w:jc w:val="right"/>
        <w:rPr>
          <w:sz w:val="20"/>
        </w:rPr>
      </w:pPr>
      <w:r>
        <w:rPr>
          <w:sz w:val="20"/>
        </w:rPr>
        <w:t>Meskell et al. 2008: 144</w:t>
      </w:r>
    </w:p>
    <w:p w:rsidR="00F93B8E" w:rsidRDefault="00256422" w:rsidP="001C1970">
      <w:pPr>
        <w:spacing w:line="480" w:lineRule="auto"/>
      </w:pPr>
      <w:r>
        <w:t xml:space="preserve">Meskell is correct to assert that the ubiquity of these figurines </w:t>
      </w:r>
      <w:r w:rsidR="000B442E">
        <w:t>is not contrary to their nature as important aspects of life in Çatalhöyük.</w:t>
      </w:r>
      <w:r w:rsidR="001C5FAF">
        <w:t xml:space="preserve"> An analogy can be made </w:t>
      </w:r>
      <w:r w:rsidR="00AC6E42">
        <w:t xml:space="preserve">to pens </w:t>
      </w:r>
      <w:r w:rsidR="00EA3D31">
        <w:t xml:space="preserve">and pencils in our society: they are produced cheaply and in bulk, widely used, and disposable while </w:t>
      </w:r>
      <w:r w:rsidR="002B5572">
        <w:t xml:space="preserve">still </w:t>
      </w:r>
      <w:r w:rsidR="00EA3D31">
        <w:t>being absolutely necessar</w:t>
      </w:r>
      <w:r w:rsidR="00AB2B67">
        <w:t>y to daily</w:t>
      </w:r>
      <w:r w:rsidR="00A95B45">
        <w:t xml:space="preserve"> life. As a category of objects they are crucial for society, but each individual example has only a temporary lifespan</w:t>
      </w:r>
      <w:r w:rsidR="00F93B8E">
        <w:t>.</w:t>
      </w:r>
      <w:r w:rsidR="000C51D4">
        <w:t xml:space="preserve"> Much as people today are not buried with their favorite pencils</w:t>
      </w:r>
      <w:r w:rsidR="00C05412">
        <w:t>, the inhabitants of Çatalh</w:t>
      </w:r>
      <w:r w:rsidR="000C51D4">
        <w:t>öyük were not buried with figurines (Meskell 1998: 59).</w:t>
      </w:r>
    </w:p>
    <w:p w:rsidR="00D1266D" w:rsidRDefault="007C741C" w:rsidP="001C1970">
      <w:pPr>
        <w:spacing w:line="480" w:lineRule="auto"/>
      </w:pPr>
      <w:r>
        <w:tab/>
      </w:r>
      <w:r w:rsidR="00383870">
        <w:t>The product</w:t>
      </w:r>
      <w:r w:rsidR="00684779">
        <w:t>ion of figurines argues towards their</w:t>
      </w:r>
      <w:r w:rsidR="00383870">
        <w:t xml:space="preserve"> disposable nature. </w:t>
      </w:r>
      <w:r w:rsidR="00684779">
        <w:t xml:space="preserve">Figurines were “quickly made,” </w:t>
      </w:r>
      <w:r w:rsidR="00D6090D">
        <w:t xml:space="preserve">and were likely produced close to the </w:t>
      </w:r>
      <w:r w:rsidR="000F3678">
        <w:t xml:space="preserve">house (Meskell et al. 2008: 151, 157). Most importantly, there is no evidence for kilns in the town (Meskell et al. 2008: 157). </w:t>
      </w:r>
      <w:r w:rsidR="00C07467">
        <w:t xml:space="preserve">If these figurines were baked at all, it would have been </w:t>
      </w:r>
      <w:r w:rsidR="00FF11B1">
        <w:t xml:space="preserve">outside </w:t>
      </w:r>
      <w:r w:rsidR="00C07467">
        <w:t xml:space="preserve">by </w:t>
      </w:r>
      <w:r w:rsidR="00FF11B1">
        <w:t xml:space="preserve">the sun or </w:t>
      </w:r>
      <w:r w:rsidR="001E07D3">
        <w:t>fires in the household, such as that from the hearth or in the burning of refuse</w:t>
      </w:r>
      <w:r w:rsidR="00FF11B1">
        <w:t xml:space="preserve"> that accompanied abandonment (</w:t>
      </w:r>
      <w:r w:rsidR="001E07D3">
        <w:t xml:space="preserve">note the ash layer in which figurine 12401.X7 was found) (ibid.). There is evidence that the clay in some figurines was still wet at the time of deposition (Meskell et al. 2008: </w:t>
      </w:r>
      <w:r w:rsidR="003509DA">
        <w:t xml:space="preserve">151). </w:t>
      </w:r>
      <w:r w:rsidR="00087CCF">
        <w:t xml:space="preserve">There are also figurines made from stone attested in the record. While stone is </w:t>
      </w:r>
      <w:r w:rsidR="00263A0B">
        <w:t>harder to work and more durable than cla</w:t>
      </w:r>
      <w:r w:rsidR="000E5BBC">
        <w:t>y, they were buried in the same kinds of fills and deposits as the clay figurines</w:t>
      </w:r>
      <w:r w:rsidR="000B72B5">
        <w:t>, indicating that the modern archaeologists’ “privileging</w:t>
      </w:r>
      <w:r w:rsidR="00280D23">
        <w:t>,</w:t>
      </w:r>
      <w:r w:rsidR="000B72B5">
        <w:t xml:space="preserve">” </w:t>
      </w:r>
      <w:r w:rsidR="00280D23">
        <w:t xml:space="preserve">or attaching more contemporary value and importance, </w:t>
      </w:r>
      <w:r w:rsidR="00AD6D05">
        <w:t>of stone over clay was no</w:t>
      </w:r>
      <w:r w:rsidR="00280D23">
        <w:t>t</w:t>
      </w:r>
      <w:r w:rsidR="00AD6D05">
        <w:t xml:space="preserve"> shared by the inhabitants of Çatalhöyük (Meskell et al. 2008: 143). </w:t>
      </w:r>
      <w:r w:rsidR="00D1266D">
        <w:t>Objects meant for permanent use and significance would not be produced so quickly and cheaply.</w:t>
      </w:r>
    </w:p>
    <w:p w:rsidR="005A2CDD" w:rsidRDefault="00D1266D" w:rsidP="001C1970">
      <w:pPr>
        <w:spacing w:line="480" w:lineRule="auto"/>
      </w:pPr>
      <w:r>
        <w:tab/>
      </w:r>
      <w:r w:rsidR="00C83F38">
        <w:t xml:space="preserve">The simple production and deposition of these figurines indicates </w:t>
      </w:r>
      <w:r w:rsidR="00C01E0B">
        <w:t>th</w:t>
      </w:r>
      <w:r w:rsidR="00E34D19">
        <w:t>eir brief, t</w:t>
      </w:r>
      <w:r w:rsidR="00EC40FF">
        <w:t>hough not meaningless, life. As</w:t>
      </w:r>
      <w:r w:rsidR="001234BB">
        <w:t xml:space="preserve"> rapidly disposed of</w:t>
      </w:r>
      <w:r w:rsidR="00EC40FF">
        <w:t xml:space="preserve"> objects</w:t>
      </w:r>
      <w:r w:rsidR="001234BB">
        <w:t xml:space="preserve">, it stands to reason that </w:t>
      </w:r>
      <w:r w:rsidR="00304106">
        <w:t xml:space="preserve">their </w:t>
      </w:r>
      <w:r w:rsidR="001234BB">
        <w:t xml:space="preserve">significance lay in </w:t>
      </w:r>
      <w:r w:rsidR="0045426C">
        <w:t xml:space="preserve">the aforementioned </w:t>
      </w:r>
      <w:r w:rsidR="001234BB">
        <w:t>production and deposition</w:t>
      </w:r>
      <w:r w:rsidR="00304106">
        <w:t xml:space="preserve">, not in a final product. Thus, we should view them less as objects, but </w:t>
      </w:r>
      <w:r w:rsidR="00AC1893">
        <w:t xml:space="preserve">more as </w:t>
      </w:r>
      <w:r w:rsidR="00304106">
        <w:t>material remains of a process, a</w:t>
      </w:r>
      <w:r w:rsidR="000B4CFC">
        <w:t>n important and quotidian feature of life in Çatalhöyük.</w:t>
      </w:r>
      <w:r w:rsidR="00B2722A">
        <w:t xml:space="preserve"> </w:t>
      </w:r>
      <w:r w:rsidR="00E23311">
        <w:t xml:space="preserve">The nature of this process </w:t>
      </w:r>
      <w:r w:rsidR="00860503">
        <w:t>gets its meaning</w:t>
      </w:r>
      <w:r w:rsidR="00E23311">
        <w:t xml:space="preserve"> </w:t>
      </w:r>
      <w:r w:rsidR="00860503">
        <w:t>from</w:t>
      </w:r>
      <w:r w:rsidR="00E23311">
        <w:t xml:space="preserve"> two </w:t>
      </w:r>
      <w:r w:rsidR="00860503">
        <w:t>components</w:t>
      </w:r>
      <w:r w:rsidR="00E23311">
        <w:t>: the practice of deposition itself</w:t>
      </w:r>
      <w:r w:rsidR="005A2CDD">
        <w:t xml:space="preserve">, and the </w:t>
      </w:r>
      <w:r w:rsidR="00087CCF">
        <w:t xml:space="preserve">character </w:t>
      </w:r>
      <w:r w:rsidR="005A2CDD">
        <w:t>of the figurines.</w:t>
      </w:r>
    </w:p>
    <w:p w:rsidR="002305DF" w:rsidRDefault="005A2CDD" w:rsidP="001C1970">
      <w:pPr>
        <w:spacing w:line="480" w:lineRule="auto"/>
      </w:pPr>
      <w:r>
        <w:tab/>
      </w:r>
      <w:r w:rsidR="00C85B7A">
        <w:t>One noteworthy feature of Çatalhöyük</w:t>
      </w:r>
      <w:r w:rsidR="00C23C8B">
        <w:t xml:space="preserve"> is that its inhabitants were buried under their floors. </w:t>
      </w:r>
      <w:r w:rsidR="003471A1">
        <w:t xml:space="preserve">While this practice may seem </w:t>
      </w:r>
      <w:r w:rsidR="008F77BF">
        <w:t>strange and unsanitary, it is not unheard of in other societies, such as the Tikopia</w:t>
      </w:r>
      <w:r w:rsidR="00603A9E">
        <w:t xml:space="preserve"> of Polynesia (Meskell 1998: 57–9). </w:t>
      </w:r>
      <w:r w:rsidR="003B3733">
        <w:t>Burying one’s ancestors in the floor is a highly symbolic act</w:t>
      </w:r>
      <w:r w:rsidR="003E3AC4">
        <w:t>:</w:t>
      </w:r>
      <w:r w:rsidR="003B3733">
        <w:t xml:space="preserve"> it stresses generational and </w:t>
      </w:r>
      <w:r w:rsidR="003E3AC4">
        <w:t>ancestral</w:t>
      </w:r>
      <w:r w:rsidR="003B3733">
        <w:t xml:space="preserve"> ties.</w:t>
      </w:r>
      <w:r w:rsidR="003E3AC4">
        <w:t xml:space="preserve"> </w:t>
      </w:r>
      <w:r w:rsidR="009C0079">
        <w:t>T</w:t>
      </w:r>
      <w:r w:rsidR="00A73CD5">
        <w:t>he more elaborate</w:t>
      </w:r>
      <w:r w:rsidR="00AC2536">
        <w:t xml:space="preserve"> houses tended to be those that also featured more burials and seemed more concerned with “memory storage” (Meskell and Nakamura</w:t>
      </w:r>
      <w:r w:rsidR="00D03625">
        <w:t xml:space="preserve"> 2009: 215). </w:t>
      </w:r>
      <w:r w:rsidR="00BA50E5">
        <w:t xml:space="preserve">Such burials not only preserve the past, but </w:t>
      </w:r>
      <w:r w:rsidR="003D6140">
        <w:t xml:space="preserve">also </w:t>
      </w:r>
      <w:r w:rsidR="00BA50E5">
        <w:t xml:space="preserve">allow it to be reclaimed </w:t>
      </w:r>
      <w:r w:rsidR="003D6140">
        <w:t>in the future (Meskell and Nakamura 2009: 217). There is evidence that bodies were dug up</w:t>
      </w:r>
      <w:r w:rsidR="000849C3">
        <w:t xml:space="preserve"> and heads were plastered and reburied</w:t>
      </w:r>
      <w:r w:rsidR="00AE0F02">
        <w:t xml:space="preserve"> (Meskell and Nakamura 2009: 225). </w:t>
      </w:r>
      <w:r w:rsidR="0006116F">
        <w:t>One of the more striking examples of was found in Building 1 on the site, in which a woman was buried holding the plastered skull of another individual</w:t>
      </w:r>
      <w:r w:rsidR="00C751D1">
        <w:t xml:space="preserve"> (</w:t>
      </w:r>
      <w:r w:rsidR="00661251">
        <w:t>Hodder</w:t>
      </w:r>
      <w:r w:rsidR="00C751D1">
        <w:t xml:space="preserve"> 200</w:t>
      </w:r>
      <w:r w:rsidR="00661251">
        <w:t>6</w:t>
      </w:r>
      <w:r w:rsidR="00C751D1">
        <w:t>: 14</w:t>
      </w:r>
      <w:r w:rsidR="00661251">
        <w:t>8</w:t>
      </w:r>
      <w:r w:rsidR="00C751D1">
        <w:t>). This skull was likely that of an ancestor</w:t>
      </w:r>
      <w:r w:rsidR="00422D82">
        <w:t xml:space="preserve"> (one would imagine that the skulls of strangers were rather hard to come by). </w:t>
      </w:r>
      <w:r w:rsidR="00660B89">
        <w:t xml:space="preserve">The skull was coated in three layers of plaster and red paint, indicating it was used </w:t>
      </w:r>
      <w:r w:rsidR="003643D1">
        <w:t xml:space="preserve">for a while and in a fashion that required regular maintenance (ibid.). </w:t>
      </w:r>
      <w:r w:rsidR="00422D82">
        <w:t xml:space="preserve">Being buried with the skull of an ancestor indicates a </w:t>
      </w:r>
      <w:r w:rsidR="00397F4D">
        <w:t>strong</w:t>
      </w:r>
      <w:r w:rsidR="00422D82">
        <w:t xml:space="preserve"> connection with </w:t>
      </w:r>
      <w:r w:rsidR="00397F4D">
        <w:t>the power of that ancestor. This connection would b</w:t>
      </w:r>
      <w:r w:rsidR="00405118">
        <w:t>e even more evident if the skull was used as a symbol of generational ties while the person buried with it was alive. It is apparent that heads had a symbolic value to the inhabitants of Çatalhöyük. This is connected to the practice</w:t>
      </w:r>
      <w:r w:rsidR="00C71516">
        <w:t xml:space="preserve"> of removing the heads of figurines. If possessing the head of ancestor gave one its (the ancestor’s) power, the same would hold for th</w:t>
      </w:r>
      <w:r w:rsidR="00665C05">
        <w:t>e head of a figurine. The headless figurine</w:t>
      </w:r>
      <w:r w:rsidR="002305DF">
        <w:t>s</w:t>
      </w:r>
      <w:r w:rsidR="00665C05">
        <w:t xml:space="preserve"> deposited in the fill under one’s new house would </w:t>
      </w:r>
      <w:r w:rsidR="002305DF">
        <w:t>then represent the headless ancestors buried under the houses of others.</w:t>
      </w:r>
    </w:p>
    <w:p w:rsidR="00344008" w:rsidRDefault="002305DF" w:rsidP="001C1970">
      <w:pPr>
        <w:spacing w:line="480" w:lineRule="auto"/>
      </w:pPr>
      <w:r>
        <w:tab/>
        <w:t xml:space="preserve">Objects deposited in walls can </w:t>
      </w:r>
      <w:r w:rsidR="005B632F">
        <w:t>also be interpreted as memory objects</w:t>
      </w:r>
      <w:r w:rsidR="004B25D6">
        <w:t>, much</w:t>
      </w:r>
      <w:r w:rsidR="005B632F">
        <w:t xml:space="preserve"> as the bodies of ancestors and figurines were. </w:t>
      </w:r>
      <w:r w:rsidR="00A929E0">
        <w:t>Many buildings feature animal skulls and bones embedded in the wall and plastered over (Hodder 2006: 11)</w:t>
      </w:r>
      <w:r w:rsidR="00630705">
        <w:t xml:space="preserve">. These bones could </w:t>
      </w:r>
      <w:r w:rsidR="00297B0B">
        <w:t>belong to either wild (aurochs, vulture) or domesticated (sheep, goats) animals. These plastered bo</w:t>
      </w:r>
      <w:r w:rsidR="001A28C4">
        <w:t xml:space="preserve">nes could serve to commemorate important events in the life of the family. The bones could be from farm animals slaughtered for special events, such as wedding or funeral feasts, or to mark other important events, </w:t>
      </w:r>
      <w:r w:rsidR="00660B89">
        <w:t>such as Junior’s first kill as</w:t>
      </w:r>
      <w:r w:rsidR="003643D1">
        <w:t xml:space="preserve"> man of the community. These animal and ancestral bones, as well as </w:t>
      </w:r>
      <w:r w:rsidR="00344008">
        <w:t>figurines, were literal deposits in a family’s memory bank.</w:t>
      </w:r>
    </w:p>
    <w:p w:rsidR="00313E5B" w:rsidRDefault="00344008" w:rsidP="001C1970">
      <w:pPr>
        <w:spacing w:line="480" w:lineRule="auto"/>
      </w:pPr>
      <w:r>
        <w:tab/>
        <w:t xml:space="preserve">With the importance of burial having been established, it is also </w:t>
      </w:r>
      <w:r w:rsidR="00817FA3">
        <w:t xml:space="preserve">important to understand the nature of what the figurine symbolizes. </w:t>
      </w:r>
      <w:r w:rsidR="0087414C">
        <w:t xml:space="preserve">While it is true that the power of this and other figurines </w:t>
      </w:r>
      <w:r w:rsidR="004B25D6">
        <w:t xml:space="preserve">primarily </w:t>
      </w:r>
      <w:r w:rsidR="0087414C">
        <w:t>lay in the process of manufacture and (</w:t>
      </w:r>
      <w:proofErr w:type="gramStart"/>
      <w:r w:rsidR="0087414C">
        <w:t>dis)use</w:t>
      </w:r>
      <w:proofErr w:type="gramEnd"/>
      <w:r w:rsidR="0087414C">
        <w:t xml:space="preserve"> as opposed to the final product, that does not mean that the physical form of the </w:t>
      </w:r>
      <w:r w:rsidR="002B7DFB">
        <w:t>figurine was</w:t>
      </w:r>
      <w:r w:rsidR="004B25D6">
        <w:t xml:space="preserve"> unimportant or </w:t>
      </w:r>
      <w:r w:rsidR="002B7DFB">
        <w:t xml:space="preserve">there was no care </w:t>
      </w:r>
      <w:r w:rsidR="004B25D6">
        <w:t>and</w:t>
      </w:r>
      <w:r w:rsidR="002B7DFB">
        <w:t xml:space="preserve"> attention to detail involved in making it. </w:t>
      </w:r>
      <w:r w:rsidR="00E10399">
        <w:t xml:space="preserve">I picked this figurine because of its singular nature </w:t>
      </w:r>
      <w:r w:rsidR="000130D7">
        <w:t>of being both</w:t>
      </w:r>
      <w:r w:rsidR="00E10399">
        <w:t xml:space="preserve"> human and skeletal </w:t>
      </w:r>
      <w:r w:rsidR="000130D7">
        <w:t xml:space="preserve">in </w:t>
      </w:r>
      <w:r w:rsidR="00E10399">
        <w:t xml:space="preserve">form. </w:t>
      </w:r>
      <w:r w:rsidR="006232CF">
        <w:t xml:space="preserve">This duality fits in with what Hodder describes as a “tension surrounding pairing” (2006: 92). </w:t>
      </w:r>
      <w:r w:rsidR="004E3CF2">
        <w:t>He cites how leopards, usually solitary in the wild</w:t>
      </w:r>
      <w:r w:rsidR="005A2AD4">
        <w:t>, are often depicted in pairs, a white mar</w:t>
      </w:r>
      <w:r w:rsidR="00A91E84">
        <w:t xml:space="preserve">ble figurine with two heads, </w:t>
      </w:r>
      <w:r w:rsidR="005A2AD4">
        <w:t>the placement of pairs of “shrines” around work/storage areas</w:t>
      </w:r>
      <w:r w:rsidR="00A91E84">
        <w:t>,</w:t>
      </w:r>
      <w:r w:rsidR="005A2AD4">
        <w:t xml:space="preserve"> and </w:t>
      </w:r>
      <w:r w:rsidR="00A91E84">
        <w:t xml:space="preserve">pairs of those pairs (ibid.). The tension, he argues, lies </w:t>
      </w:r>
      <w:r w:rsidR="00D25D58">
        <w:t xml:space="preserve">in between “unity and difference […] social balance and community, and individual difference” (ibid.). </w:t>
      </w:r>
      <w:r w:rsidR="00313E5B">
        <w:t>Objects and representations are given meaning by incorporating disparate elements.</w:t>
      </w:r>
    </w:p>
    <w:p w:rsidR="00E307C6" w:rsidRDefault="00313E5B" w:rsidP="001C1970">
      <w:pPr>
        <w:spacing w:line="480" w:lineRule="auto"/>
      </w:pPr>
      <w:r>
        <w:tab/>
        <w:t>The tension in Figur</w:t>
      </w:r>
      <w:r w:rsidR="001F5CA3">
        <w:t xml:space="preserve">ine 12401.X7 lies in its combination of human and skeletal forms. </w:t>
      </w:r>
      <w:r w:rsidR="0078580D">
        <w:t xml:space="preserve">The interpretation of these forms and their dialogue is crucial to interpreting the figurine. The skeletal side of the figurine is straightforward. </w:t>
      </w:r>
      <w:r w:rsidR="00C17B81">
        <w:t>An articulated skeleton most likely represents death. The in</w:t>
      </w:r>
      <w:r w:rsidR="00E307C6">
        <w:t>habitants of Çatalhöyük would have been quite</w:t>
      </w:r>
      <w:r w:rsidR="00C17B81">
        <w:t xml:space="preserve"> familiar with bones through their butchering of animals and </w:t>
      </w:r>
      <w:r w:rsidR="00E307C6">
        <w:t>exhumation of their ancestors. It is no great leap to assume that a connection between bones and death thus formed.</w:t>
      </w:r>
    </w:p>
    <w:p w:rsidR="00890B4B" w:rsidRDefault="00E307C6" w:rsidP="001C1970">
      <w:pPr>
        <w:spacing w:line="480" w:lineRule="auto"/>
      </w:pPr>
      <w:r>
        <w:tab/>
      </w:r>
      <w:r w:rsidR="00023908">
        <w:t xml:space="preserve">The “living” side of the </w:t>
      </w:r>
      <w:r w:rsidR="00366380">
        <w:t>figurine is more compli</w:t>
      </w:r>
      <w:r w:rsidR="002D21C3">
        <w:t xml:space="preserve">cated. Mellaart believed the obese women depicted in the corpus of figurines were </w:t>
      </w:r>
      <w:r w:rsidR="0034659D">
        <w:t>“Mother G</w:t>
      </w:r>
      <w:r w:rsidR="005508F7">
        <w:t>oddesses</w:t>
      </w:r>
      <w:r w:rsidR="0034659D">
        <w:t>”</w:t>
      </w:r>
      <w:r w:rsidR="005508F7">
        <w:t xml:space="preserve"> (Meskell 1998: </w:t>
      </w:r>
      <w:r w:rsidR="0034659D">
        <w:t>46)</w:t>
      </w:r>
      <w:r w:rsidR="005508F7">
        <w:t xml:space="preserve">. </w:t>
      </w:r>
      <w:r w:rsidR="00F775E6">
        <w:t>The large breasts and hips were taken as signs of extreme fertility. This mode of thought was furthered by the work of Marija Gimbutas</w:t>
      </w:r>
      <w:r w:rsidR="00E84857">
        <w:t xml:space="preserve"> and her vision of a matriarchal and matrifocal Neolithic </w:t>
      </w:r>
      <w:r w:rsidR="00F121A4">
        <w:t>that lasted until Indo-Europeans swept in</w:t>
      </w:r>
      <w:r w:rsidR="00E47166">
        <w:t xml:space="preserve"> </w:t>
      </w:r>
      <w:r w:rsidR="00EF69C1">
        <w:t>with</w:t>
      </w:r>
      <w:r w:rsidR="00E47166">
        <w:t xml:space="preserve"> their chariots</w:t>
      </w:r>
      <w:r w:rsidR="00F121A4">
        <w:t xml:space="preserve"> </w:t>
      </w:r>
      <w:r w:rsidR="00EF69C1">
        <w:t xml:space="preserve">and sky gods, </w:t>
      </w:r>
      <w:r w:rsidR="00F121A4">
        <w:t xml:space="preserve">and taught everyone how to hate women (Meskell 1998: 52–3). The figurines were even linked to </w:t>
      </w:r>
      <w:r w:rsidR="00BE52C5">
        <w:t>later religious traditions in the Aegean (ibid.).</w:t>
      </w:r>
      <w:r w:rsidR="00432842">
        <w:t xml:space="preserve"> </w:t>
      </w:r>
      <w:r w:rsidR="00407A20">
        <w:t>Associating the fat on these figurines with fec</w:t>
      </w:r>
      <w:r w:rsidR="00D61BFE">
        <w:t>undity imposes our society’s sense of iconography and symbolism on a foreign culture, and is thus not reliable.</w:t>
      </w:r>
    </w:p>
    <w:p w:rsidR="00BE52C5" w:rsidRDefault="00AC7F61" w:rsidP="001C1970">
      <w:pPr>
        <w:spacing w:line="480" w:lineRule="auto"/>
      </w:pPr>
      <w:r>
        <w:tab/>
      </w:r>
      <w:r w:rsidR="00FF6A53">
        <w:t xml:space="preserve">Though these figurines </w:t>
      </w:r>
      <w:r w:rsidR="000B4C9D">
        <w:t xml:space="preserve">were </w:t>
      </w:r>
      <w:proofErr w:type="gramStart"/>
      <w:r w:rsidR="000B4C9D">
        <w:t>not</w:t>
      </w:r>
      <w:r w:rsidR="00AE469E">
        <w:t xml:space="preserve"> cult statues, that does</w:t>
      </w:r>
      <w:proofErr w:type="gramEnd"/>
      <w:r w:rsidR="00AE469E">
        <w:t xml:space="preserve"> not imply that they did not have </w:t>
      </w:r>
      <w:r w:rsidR="00EF69C1">
        <w:t xml:space="preserve">what we would </w:t>
      </w:r>
      <w:r w:rsidR="000D113C">
        <w:t xml:space="preserve">consider a religious function. </w:t>
      </w:r>
      <w:r w:rsidR="002C5DFC">
        <w:t>Meskell et al. not</w:t>
      </w:r>
      <w:r w:rsidR="008024A3">
        <w:t>e</w:t>
      </w:r>
      <w:r w:rsidR="00CC78C3">
        <w:t>,</w:t>
      </w:r>
      <w:r w:rsidR="002C5DFC">
        <w:t xml:space="preserve"> “a strict division between the ‘everyday’ and the ‘magical’ or ‘ritual’ might not have been operative in the past” (2008: </w:t>
      </w:r>
      <w:r w:rsidR="00CC78C3">
        <w:t xml:space="preserve">158). </w:t>
      </w:r>
      <w:r w:rsidR="000D113C">
        <w:t xml:space="preserve">Our contemporary positivist worldview separates the superstitious and the secular, even making them mutually exclusive. </w:t>
      </w:r>
      <w:r w:rsidR="00CC78C3">
        <w:t xml:space="preserve">As this was not </w:t>
      </w:r>
      <w:r w:rsidR="005725D9">
        <w:t xml:space="preserve">necessarily </w:t>
      </w:r>
      <w:r w:rsidR="00CC78C3">
        <w:t>th</w:t>
      </w:r>
      <w:r w:rsidR="00070A86">
        <w:t>e ca</w:t>
      </w:r>
      <w:r w:rsidR="008024A3">
        <w:t xml:space="preserve">se in Çatalhöyük, </w:t>
      </w:r>
      <w:r w:rsidR="007F2EA5">
        <w:t>the fact that</w:t>
      </w:r>
      <w:r w:rsidR="00BA6E97">
        <w:t xml:space="preserve"> the figurines were found in contexts we would consider “everyday</w:t>
      </w:r>
      <w:r w:rsidR="007F2EA5">
        <w:t>,</w:t>
      </w:r>
      <w:r w:rsidR="00BA6E97">
        <w:t xml:space="preserve">” </w:t>
      </w:r>
      <w:r w:rsidR="007F2EA5">
        <w:t xml:space="preserve">does not preclude </w:t>
      </w:r>
      <w:r w:rsidR="00BA6E97">
        <w:t>the</w:t>
      </w:r>
      <w:r w:rsidR="007F2EA5">
        <w:t>ir being</w:t>
      </w:r>
      <w:r w:rsidR="00BA6E97">
        <w:t xml:space="preserve"> believed to have a material agency that we would</w:t>
      </w:r>
      <w:r w:rsidR="005725D9">
        <w:t xml:space="preserve"> today</w:t>
      </w:r>
      <w:r w:rsidR="00BA6E97">
        <w:t xml:space="preserve"> consider “</w:t>
      </w:r>
      <w:r w:rsidR="005725D9">
        <w:t>ritual</w:t>
      </w:r>
      <w:r w:rsidR="00BA6E97">
        <w:t>.”</w:t>
      </w:r>
    </w:p>
    <w:p w:rsidR="00DD651C" w:rsidRDefault="00BE52C5" w:rsidP="001C1970">
      <w:pPr>
        <w:spacing w:line="480" w:lineRule="auto"/>
      </w:pPr>
      <w:r>
        <w:tab/>
        <w:t xml:space="preserve">Recent work by Lynn Meskell and Carolyn Nakamura has </w:t>
      </w:r>
      <w:r w:rsidR="004C570A">
        <w:t>shown that these figurines did not depict “Mother Goddesses</w:t>
      </w:r>
      <w:r w:rsidR="00210092">
        <w:t>,</w:t>
      </w:r>
      <w:r w:rsidR="004C570A">
        <w:t xml:space="preserve">” but served as representations of </w:t>
      </w:r>
      <w:r w:rsidR="005725D9">
        <w:t xml:space="preserve">age, </w:t>
      </w:r>
      <w:r w:rsidR="004C570A">
        <w:t>prosperity</w:t>
      </w:r>
      <w:r w:rsidR="005725D9">
        <w:t>,</w:t>
      </w:r>
      <w:r w:rsidR="004C570A">
        <w:t xml:space="preserve"> and abundance</w:t>
      </w:r>
      <w:r w:rsidR="00B35876">
        <w:t xml:space="preserve"> (Meskell and Nakamura</w:t>
      </w:r>
      <w:r w:rsidR="00D90B80">
        <w:t xml:space="preserve"> 2009: 208). </w:t>
      </w:r>
      <w:r w:rsidR="005D6658">
        <w:t>The discussion ab</w:t>
      </w:r>
      <w:r w:rsidR="000D124D">
        <w:t>ove about expedient production and disposal refutes the idea of their role as cult statues, as one would expect</w:t>
      </w:r>
      <w:r w:rsidR="00210092">
        <w:t xml:space="preserve"> of “Mother Goddesses.” The concept of such a deity as a Mother Goddess</w:t>
      </w:r>
      <w:r w:rsidR="00432842">
        <w:t xml:space="preserve"> requires a clearly gendered society. </w:t>
      </w:r>
      <w:r w:rsidR="00204D6B">
        <w:t xml:space="preserve">Of all the figurines found at Çatalhöyük </w:t>
      </w:r>
      <w:r w:rsidR="000D2D30">
        <w:t xml:space="preserve">there are </w:t>
      </w:r>
      <w:r w:rsidR="00204D6B">
        <w:t xml:space="preserve">only two </w:t>
      </w:r>
      <w:r w:rsidR="000D2D30">
        <w:t>with</w:t>
      </w:r>
      <w:r w:rsidR="00204D6B">
        <w:t xml:space="preserve"> pubic triangles</w:t>
      </w:r>
      <w:r w:rsidR="000D2D30">
        <w:t xml:space="preserve"> and eight phallomorphs (Meskell and Nakamura 2009: 212).</w:t>
      </w:r>
      <w:r w:rsidR="00DD651C">
        <w:t xml:space="preserve"> In addition, Meskell and Nakamura note:</w:t>
      </w:r>
    </w:p>
    <w:p w:rsidR="00F143F4" w:rsidRDefault="00DD651C" w:rsidP="00DD651C">
      <w:pPr>
        <w:ind w:left="1440"/>
        <w:rPr>
          <w:sz w:val="20"/>
        </w:rPr>
      </w:pPr>
      <w:r w:rsidRPr="00DD651C">
        <w:rPr>
          <w:sz w:val="20"/>
        </w:rPr>
        <w:t>Furthermore, while breasts and stomachs are secondary reproductive traits (genitalia being primary), buttocks are not. The most common paring of traits was bellies with buttocks (21), breasts with buttocks (20), and breast</w:t>
      </w:r>
      <w:r w:rsidR="00F143F4">
        <w:rPr>
          <w:sz w:val="20"/>
        </w:rPr>
        <w:t>s with bellies (19</w:t>
      </w:r>
      <w:r w:rsidRPr="00DD651C">
        <w:rPr>
          <w:sz w:val="20"/>
        </w:rPr>
        <w:t>), while all three occurr</w:t>
      </w:r>
      <w:r w:rsidR="00F143F4">
        <w:rPr>
          <w:sz w:val="20"/>
        </w:rPr>
        <w:t>ed together a total of 17 times</w:t>
      </w:r>
      <w:r w:rsidRPr="00DD651C">
        <w:rPr>
          <w:sz w:val="20"/>
        </w:rPr>
        <w:t>.</w:t>
      </w:r>
    </w:p>
    <w:p w:rsidR="00F143F4" w:rsidRDefault="00F143F4" w:rsidP="00F143F4">
      <w:pPr>
        <w:ind w:left="1440"/>
        <w:jc w:val="right"/>
        <w:rPr>
          <w:sz w:val="20"/>
        </w:rPr>
      </w:pPr>
      <w:r>
        <w:rPr>
          <w:sz w:val="20"/>
        </w:rPr>
        <w:t>2009: 212</w:t>
      </w:r>
    </w:p>
    <w:p w:rsidR="00B76F43" w:rsidRDefault="008E7073" w:rsidP="00F143F4">
      <w:pPr>
        <w:spacing w:line="480" w:lineRule="auto"/>
      </w:pPr>
      <w:r>
        <w:t>Elsewhere in the representational sphere there is a lack of gender-related motifs, e</w:t>
      </w:r>
      <w:r w:rsidRPr="008E7073">
        <w:t>s</w:t>
      </w:r>
      <w:r>
        <w:t xml:space="preserve">pecially depictions of </w:t>
      </w:r>
      <w:r w:rsidRPr="008E7073">
        <w:t>children, adolescents, moth</w:t>
      </w:r>
      <w:r>
        <w:t>ers with babies, and childbirth</w:t>
      </w:r>
      <w:r w:rsidRPr="008E7073">
        <w:t xml:space="preserve"> </w:t>
      </w:r>
      <w:r w:rsidRPr="008E7073">
        <w:rPr>
          <w:rFonts w:cs="Helvetica"/>
          <w:color w:val="101010"/>
          <w:szCs w:val="19"/>
        </w:rPr>
        <w:t>(ibid.)</w:t>
      </w:r>
      <w:r w:rsidR="001D034C">
        <w:rPr>
          <w:rFonts w:cs="Helvetica"/>
          <w:color w:val="101010"/>
          <w:szCs w:val="19"/>
        </w:rPr>
        <w:t xml:space="preserve">. These motifs would be more common in a society based around a gynocentric fertility cult. The portrayal of </w:t>
      </w:r>
      <w:r w:rsidR="001D034C">
        <w:t xml:space="preserve">gender-specific traits was not a major concern of the figurine makers. </w:t>
      </w:r>
      <w:r w:rsidR="009E608A">
        <w:t xml:space="preserve">The best evidence, however, of the role of gender in played in Çatalhöyük comes from the inhabitants themselves. </w:t>
      </w:r>
      <w:r w:rsidR="006C66C5">
        <w:t xml:space="preserve">Analysis of the </w:t>
      </w:r>
      <w:r w:rsidR="00F60A22">
        <w:t xml:space="preserve">burials, </w:t>
      </w:r>
      <w:r w:rsidR="006C66C5">
        <w:t>diets</w:t>
      </w:r>
      <w:r w:rsidR="00F60A22">
        <w:t>,</w:t>
      </w:r>
      <w:r w:rsidR="006C66C5">
        <w:t xml:space="preserve"> and bone wear of the people who lived in Çatalhöyük indicate</w:t>
      </w:r>
      <w:r w:rsidR="00F60A22">
        <w:t>s</w:t>
      </w:r>
      <w:r w:rsidR="006C66C5">
        <w:t xml:space="preserve"> that </w:t>
      </w:r>
      <w:r w:rsidR="00F60A22">
        <w:t>men and women “</w:t>
      </w:r>
      <w:r w:rsidR="00F60A22" w:rsidRPr="00F60A22">
        <w:t>participated in similar kinds of labor, sustained similar injuries, shared a similar diet, died at comparable ages, and were ultimately buried with similar treatments and objects</w:t>
      </w:r>
      <w:r w:rsidR="00F60A22">
        <w:t xml:space="preserve">” (Meskell and Nakamura 2009: </w:t>
      </w:r>
      <w:r w:rsidR="004475BD">
        <w:t>208). Different grave goods and injuries for the diffe</w:t>
      </w:r>
      <w:r w:rsidR="00DA72B6">
        <w:t>rent sexes would reveal more concrete gender roles for the peo</w:t>
      </w:r>
      <w:r w:rsidR="0000647D">
        <w:t>ple living in the society: e.g. if men were buried with weapons and symbols of power while women were buried with pots and baskets, it could mean that men fought and ruled while wo</w:t>
      </w:r>
      <w:r w:rsidR="00A171E7">
        <w:t xml:space="preserve">men tended the domestic sphere. A heavily gendered society usually mirrors these </w:t>
      </w:r>
      <w:r w:rsidR="007E510F">
        <w:t>divisions in its mythology, cf. Zeus the angry sky god and his consort Hera, the goddess of weddings, childbirth, and the home from the Greek pantheon.</w:t>
      </w:r>
    </w:p>
    <w:p w:rsidR="00E9265F" w:rsidRDefault="00B76F43" w:rsidP="00F143F4">
      <w:pPr>
        <w:spacing w:line="480" w:lineRule="auto"/>
      </w:pPr>
      <w:r>
        <w:tab/>
      </w:r>
      <w:r w:rsidR="00EF6945">
        <w:t>Instead of fertility, these exaggerated forms of figurines represent pr</w:t>
      </w:r>
      <w:r w:rsidR="005D0962">
        <w:t xml:space="preserve">osperity and age, stressing the relationship between a family and its forebears discussed above. </w:t>
      </w:r>
      <w:r w:rsidR="006D32FA">
        <w:t>It is common knowledge t</w:t>
      </w:r>
      <w:r w:rsidR="00CB2A8B">
        <w:t xml:space="preserve">hat body fat accumulates in one’s torso and buttocks. </w:t>
      </w:r>
      <w:r w:rsidR="00E9265F">
        <w:t>Meskell and Nakamura also describe these features as:</w:t>
      </w:r>
    </w:p>
    <w:p w:rsidR="00E9265F" w:rsidRDefault="00E9265F" w:rsidP="00E9265F">
      <w:pPr>
        <w:ind w:left="1440"/>
        <w:rPr>
          <w:sz w:val="20"/>
        </w:rPr>
      </w:pPr>
      <w:proofErr w:type="gramStart"/>
      <w:r w:rsidRPr="00E9265F">
        <w:rPr>
          <w:sz w:val="20"/>
        </w:rPr>
        <w:t>flattened</w:t>
      </w:r>
      <w:proofErr w:type="gramEnd"/>
      <w:r w:rsidRPr="00E9265F">
        <w:rPr>
          <w:sz w:val="20"/>
        </w:rPr>
        <w:t>, drooping, and angular , rather than robust and rounded in shape. Many breasts are not portrayed symmetrically and appear to be somewhat flattened and pendulous. Similarly, stomachs, while exaggerated, are not evocative of pregnancy, but rather of advanced maturity or even obesity.</w:t>
      </w:r>
    </w:p>
    <w:p w:rsidR="00522570" w:rsidRDefault="00E9265F" w:rsidP="00E9265F">
      <w:pPr>
        <w:ind w:left="1440"/>
        <w:jc w:val="right"/>
        <w:rPr>
          <w:sz w:val="20"/>
        </w:rPr>
      </w:pPr>
      <w:r>
        <w:rPr>
          <w:sz w:val="20"/>
        </w:rPr>
        <w:t xml:space="preserve">2009: </w:t>
      </w:r>
      <w:r w:rsidR="00522570">
        <w:rPr>
          <w:sz w:val="20"/>
        </w:rPr>
        <w:t>219</w:t>
      </w:r>
    </w:p>
    <w:p w:rsidR="00D52791" w:rsidRDefault="00522570" w:rsidP="00522570">
      <w:pPr>
        <w:spacing w:line="480" w:lineRule="auto"/>
      </w:pPr>
      <w:r>
        <w:t xml:space="preserve">These features do not depict an ideal of enticing fertility but an ideal of abundance. </w:t>
      </w:r>
      <w:r w:rsidR="00B63F7D">
        <w:t>I use the term “ideal” because there is no evidence of obesity attested in Çatalhöyük</w:t>
      </w:r>
      <w:r w:rsidR="002E7180">
        <w:t xml:space="preserve"> (M</w:t>
      </w:r>
      <w:r w:rsidR="00D52791">
        <w:t>eskell and Nakamura 2009: 221).</w:t>
      </w:r>
    </w:p>
    <w:p w:rsidR="00B866B6" w:rsidRDefault="00D52791" w:rsidP="00D52791">
      <w:pPr>
        <w:spacing w:line="480" w:lineRule="auto"/>
      </w:pPr>
      <w:r>
        <w:tab/>
      </w:r>
      <w:r w:rsidR="00C7407F">
        <w:t>Thus it seems that these figurines can be considered symbols</w:t>
      </w:r>
      <w:r w:rsidR="00D927C5">
        <w:t xml:space="preserve"> of prosperity</w:t>
      </w:r>
      <w:r w:rsidR="00C7407F">
        <w:t>, as opposed to real-life depictions</w:t>
      </w:r>
      <w:r w:rsidR="00D927C5">
        <w:t>.</w:t>
      </w:r>
      <w:r w:rsidR="00D7125E">
        <w:t xml:space="preserve"> </w:t>
      </w:r>
      <w:r w:rsidR="00330315">
        <w:t>As symbols they may have meant more than purely physical abundance, but</w:t>
      </w:r>
      <w:r w:rsidR="00FA7329" w:rsidRPr="00FA7329">
        <w:t xml:space="preserve"> </w:t>
      </w:r>
      <w:r w:rsidR="00330315">
        <w:t>could have also “</w:t>
      </w:r>
      <w:r w:rsidR="00FA7329" w:rsidRPr="00FA7329">
        <w:t>materialized a cultural desire and respect for accumulated knowledge, skill, and power through the bo</w:t>
      </w:r>
      <w:r w:rsidR="00FA7329">
        <w:t xml:space="preserve">dily idiom of accumulated flesh” (Meskell and Nakamura 2009: 222). This “accumulation” would be </w:t>
      </w:r>
      <w:r>
        <w:t>the product of age</w:t>
      </w:r>
      <w:r w:rsidR="000B6440">
        <w:t xml:space="preserve"> and experience. The importance o</w:t>
      </w:r>
      <w:r w:rsidR="00330315">
        <w:t>f</w:t>
      </w:r>
      <w:r w:rsidR="000B6440">
        <w:t xml:space="preserve"> ancestral ties in Çatalhöyük reinforces this notion. </w:t>
      </w:r>
      <w:r w:rsidR="00E47166">
        <w:t>The figurines, especially 12401.X7, are also ma</w:t>
      </w:r>
      <w:r w:rsidR="009E58BC">
        <w:t xml:space="preserve">rked with a physical representation of this connection: their navels. </w:t>
      </w:r>
      <w:r w:rsidR="00B61A06">
        <w:t>A navel is a scar—a memory made cor</w:t>
      </w:r>
      <w:r w:rsidR="00FF5D29">
        <w:t>poreal—that marks where the unborn child was attached to its mother</w:t>
      </w:r>
      <w:r w:rsidR="008C6498">
        <w:t xml:space="preserve"> (Meskell and Nakamura 2009: 217)</w:t>
      </w:r>
      <w:r w:rsidR="00FF5D29">
        <w:t>. It is a physical link between t</w:t>
      </w:r>
      <w:r w:rsidR="00B866B6">
        <w:t>he generations.</w:t>
      </w:r>
      <w:r w:rsidR="00FF5D29">
        <w:t xml:space="preserve"> The pronounced navel on 12401.X7 and the other figurines </w:t>
      </w:r>
      <w:r w:rsidR="00B866B6">
        <w:t>show the importance of the relationship between people and their ancestors, the living and the dead.</w:t>
      </w:r>
    </w:p>
    <w:p w:rsidR="00125730" w:rsidRDefault="00B866B6" w:rsidP="00D52791">
      <w:pPr>
        <w:spacing w:line="480" w:lineRule="auto"/>
      </w:pPr>
      <w:r>
        <w:tab/>
      </w:r>
      <w:r w:rsidR="00824773">
        <w:t xml:space="preserve">The “tension surrounding pairing” in figurine 12401.X7 mentioned above is now clear. </w:t>
      </w:r>
      <w:r w:rsidR="00D9535E">
        <w:t xml:space="preserve">The synthesis of the death (the skeletal side) and abundance and accumulation (the living side) </w:t>
      </w:r>
      <w:r w:rsidR="000608ED">
        <w:t>represents the idealized ancestor. Though dead, the</w:t>
      </w:r>
      <w:r w:rsidR="002029CE">
        <w:t>y lived a</w:t>
      </w:r>
      <w:r w:rsidR="000608ED">
        <w:t xml:space="preserve"> life of </w:t>
      </w:r>
      <w:r w:rsidR="002029CE">
        <w:t>prosperity and abundance that can be felt by those still living. The deposition of these</w:t>
      </w:r>
      <w:r w:rsidR="008447E7">
        <w:t xml:space="preserve"> figurines in secondary contexts, especi</w:t>
      </w:r>
      <w:r w:rsidR="008C6498">
        <w:t>ally abandonment fill, mirrors the buri</w:t>
      </w:r>
      <w:r w:rsidR="00125D55">
        <w:t>al of ancestors beneath floors. Building</w:t>
      </w:r>
      <w:r w:rsidR="00494B81">
        <w:t xml:space="preserve"> a house over such a figurine as this would be much like building a house over, and thus being connected to, a prosperous ancestor. </w:t>
      </w:r>
      <w:r w:rsidR="00E85761">
        <w:t>A figurine such as 12401.X7 could have worked in lieu of or in addition to a family’s forbears</w:t>
      </w:r>
      <w:r w:rsidR="00125730">
        <w:t>.</w:t>
      </w:r>
    </w:p>
    <w:p w:rsidR="004F086F" w:rsidRDefault="00125730" w:rsidP="00D52791">
      <w:pPr>
        <w:spacing w:line="480" w:lineRule="auto"/>
      </w:pPr>
      <w:r>
        <w:tab/>
      </w:r>
      <w:r w:rsidR="00A3027B">
        <w:t xml:space="preserve">A successful person today could describe his or herself as having “stood on the shoulders of giants” or </w:t>
      </w:r>
      <w:r w:rsidR="00897B3A">
        <w:t>“had a life built on a str</w:t>
      </w:r>
      <w:r w:rsidR="003C50B8">
        <w:t>ong foundation of family and good values</w:t>
      </w:r>
      <w:r w:rsidR="00897B3A">
        <w:t xml:space="preserve">.” These metaphors would be quite literal </w:t>
      </w:r>
      <w:r w:rsidR="003C50B8">
        <w:t>if spoken by</w:t>
      </w:r>
      <w:r w:rsidR="00897B3A">
        <w:t xml:space="preserve"> an inhabitant of </w:t>
      </w:r>
      <w:r w:rsidR="003C50B8">
        <w:t xml:space="preserve">Çatalhöyük. The connection between </w:t>
      </w:r>
      <w:r w:rsidR="00C769CA">
        <w:t>the living and their predecessors was no</w:t>
      </w:r>
      <w:r w:rsidR="00DD35F7">
        <w:t>t merely genetic, but physical. One manifestation of this link is the</w:t>
      </w:r>
      <w:r w:rsidR="00850FB6">
        <w:t xml:space="preserve">se figurines. Their quick production and disposal was a regular occurrence yet full of meaning. </w:t>
      </w:r>
      <w:r w:rsidR="004F086F">
        <w:t>This figurine reveals that the</w:t>
      </w:r>
      <w:r w:rsidR="00D42463">
        <w:t xml:space="preserve"> importance of memory and family </w:t>
      </w:r>
      <w:r w:rsidR="004F086F">
        <w:t>is a human trait that goes back thousands of years.</w:t>
      </w:r>
      <w:r w:rsidR="006309CD">
        <w:t xml:space="preserve"> </w:t>
      </w:r>
    </w:p>
    <w:p w:rsidR="004F086F" w:rsidRDefault="004F086F" w:rsidP="00D52791">
      <w:pPr>
        <w:spacing w:line="480" w:lineRule="auto"/>
      </w:pPr>
    </w:p>
    <w:p w:rsidR="006309CD" w:rsidRDefault="004F086F" w:rsidP="006309CD">
      <w:r>
        <w:t xml:space="preserve">Images from </w:t>
      </w:r>
      <w:r w:rsidR="0000042A">
        <w:t>Çatalhöyük Research Project: On-Line Database Facility &lt;</w:t>
      </w:r>
      <w:r w:rsidR="0000042A" w:rsidRPr="0000042A">
        <w:t>http://www.catalhoyuk.com/database/catal/specialist.asp</w:t>
      </w:r>
      <w:proofErr w:type="gramStart"/>
      <w:r w:rsidR="0000042A" w:rsidRPr="0000042A">
        <w:t>?subject</w:t>
      </w:r>
      <w:proofErr w:type="gramEnd"/>
      <w:r w:rsidR="0000042A" w:rsidRPr="0000042A">
        <w:t>=fig&amp;num=12401.X7</w:t>
      </w:r>
      <w:r w:rsidR="0000042A">
        <w:t>&gt;</w:t>
      </w:r>
    </w:p>
    <w:p w:rsidR="00096B15" w:rsidRDefault="00096B15" w:rsidP="006309CD"/>
    <w:p w:rsidR="006309CD" w:rsidRDefault="006309CD" w:rsidP="006309CD"/>
    <w:p w:rsidR="00DC02A7" w:rsidRDefault="00DC02A7" w:rsidP="00DC02A7">
      <w:pPr>
        <w:spacing w:line="480" w:lineRule="auto"/>
        <w:jc w:val="center"/>
      </w:pPr>
      <w:r>
        <w:rPr>
          <w:noProof/>
        </w:rPr>
        <w:drawing>
          <wp:anchor distT="0" distB="0" distL="114300" distR="114300" simplePos="0" relativeHeight="251659264" behindDoc="0" locked="0" layoutInCell="1" allowOverlap="1">
            <wp:simplePos x="0" y="0"/>
            <wp:positionH relativeFrom="column">
              <wp:posOffset>224155</wp:posOffset>
            </wp:positionH>
            <wp:positionV relativeFrom="paragraph">
              <wp:posOffset>189230</wp:posOffset>
            </wp:positionV>
            <wp:extent cx="2726055" cy="2056130"/>
            <wp:effectExtent l="0" t="355600" r="0" b="331470"/>
            <wp:wrapNone/>
            <wp:docPr id="4" name="" descr=":::::Desktop:DSCN1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DSCN1379.jpg"/>
                    <pic:cNvPicPr>
                      <a:picLocks noChangeAspect="1" noChangeArrowheads="1"/>
                    </pic:cNvPicPr>
                  </pic:nvPicPr>
                  <pic:blipFill>
                    <a:blip r:embed="rId5"/>
                    <a:srcRect/>
                    <a:stretch>
                      <a:fillRect/>
                    </a:stretch>
                  </pic:blipFill>
                  <pic:spPr bwMode="auto">
                    <a:xfrm rot="5400000">
                      <a:off x="0" y="0"/>
                      <a:ext cx="2726055" cy="205613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2730500</wp:posOffset>
            </wp:positionH>
            <wp:positionV relativeFrom="paragraph">
              <wp:posOffset>3491230</wp:posOffset>
            </wp:positionV>
            <wp:extent cx="2740025" cy="2054860"/>
            <wp:effectExtent l="0" t="355600" r="0" b="332740"/>
            <wp:wrapTight wrapText="bothSides">
              <wp:wrapPolygon edited="0">
                <wp:start x="-103" y="21997"/>
                <wp:lineTo x="21522" y="21997"/>
                <wp:lineTo x="21522" y="103"/>
                <wp:lineTo x="-103" y="103"/>
                <wp:lineTo x="-103" y="21997"/>
              </wp:wrapPolygon>
            </wp:wrapTight>
            <wp:docPr id="6" name="Picture 6" descr=":::::Desktop:DSCN1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DSCN1382.jpg"/>
                    <pic:cNvPicPr>
                      <a:picLocks noChangeAspect="1" noChangeArrowheads="1"/>
                    </pic:cNvPicPr>
                  </pic:nvPicPr>
                  <pic:blipFill>
                    <a:blip r:embed="rId6"/>
                    <a:srcRect/>
                    <a:stretch>
                      <a:fillRect/>
                    </a:stretch>
                  </pic:blipFill>
                  <pic:spPr bwMode="auto">
                    <a:xfrm rot="5400000">
                      <a:off x="0" y="0"/>
                      <a:ext cx="2740025" cy="205486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2730500</wp:posOffset>
            </wp:positionH>
            <wp:positionV relativeFrom="paragraph">
              <wp:posOffset>138430</wp:posOffset>
            </wp:positionV>
            <wp:extent cx="2776855" cy="2092960"/>
            <wp:effectExtent l="0" t="355600" r="0" b="320040"/>
            <wp:wrapNone/>
            <wp:docPr id="5" name="" descr=":::::Desktop:DSCN1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DSCN1389.jpg"/>
                    <pic:cNvPicPr>
                      <a:picLocks noChangeAspect="1" noChangeArrowheads="1"/>
                    </pic:cNvPicPr>
                  </pic:nvPicPr>
                  <pic:blipFill>
                    <a:blip r:embed="rId7"/>
                    <a:srcRect/>
                    <a:stretch>
                      <a:fillRect/>
                    </a:stretch>
                  </pic:blipFill>
                  <pic:spPr bwMode="auto">
                    <a:xfrm rot="5400000">
                      <a:off x="0" y="0"/>
                      <a:ext cx="2776855" cy="209296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simplePos x="0" y="0"/>
            <wp:positionH relativeFrom="column">
              <wp:posOffset>224155</wp:posOffset>
            </wp:positionH>
            <wp:positionV relativeFrom="paragraph">
              <wp:posOffset>3491230</wp:posOffset>
            </wp:positionV>
            <wp:extent cx="2743200" cy="2058670"/>
            <wp:effectExtent l="0" t="355600" r="0" b="328930"/>
            <wp:wrapNone/>
            <wp:docPr id="3" name="" descr=":::::Desktop:DSCN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DSCN1380.jpg"/>
                    <pic:cNvPicPr>
                      <a:picLocks noChangeAspect="1" noChangeArrowheads="1"/>
                    </pic:cNvPicPr>
                  </pic:nvPicPr>
                  <pic:blipFill>
                    <a:blip r:embed="rId8"/>
                    <a:srcRect/>
                    <a:stretch>
                      <a:fillRect/>
                    </a:stretch>
                  </pic:blipFill>
                  <pic:spPr bwMode="auto">
                    <a:xfrm rot="5400000">
                      <a:off x="0" y="0"/>
                      <a:ext cx="2743200" cy="2058670"/>
                    </a:xfrm>
                    <a:prstGeom prst="rect">
                      <a:avLst/>
                    </a:prstGeom>
                    <a:noFill/>
                    <a:ln w="9525">
                      <a:noFill/>
                      <a:miter lim="800000"/>
                      <a:headEnd/>
                      <a:tailEnd/>
                    </a:ln>
                  </pic:spPr>
                </pic:pic>
              </a:graphicData>
            </a:graphic>
          </wp:anchor>
        </w:drawing>
      </w:r>
      <w:r w:rsidR="00096B15">
        <w:br w:type="page"/>
      </w:r>
      <w:r>
        <w:t>Works Cited</w:t>
      </w:r>
    </w:p>
    <w:p w:rsidR="00D80D94" w:rsidRDefault="00DC02A7" w:rsidP="00DC02A7">
      <w:pPr>
        <w:spacing w:line="480" w:lineRule="auto"/>
      </w:pPr>
      <w:proofErr w:type="gramStart"/>
      <w:r>
        <w:t>Hodder, Ian</w:t>
      </w:r>
      <w:r w:rsidR="00D17E89">
        <w:t>; 2006.</w:t>
      </w:r>
      <w:proofErr w:type="gramEnd"/>
      <w:r w:rsidR="00D17E89">
        <w:t xml:space="preserve"> </w:t>
      </w:r>
      <w:r w:rsidR="00D17E89">
        <w:rPr>
          <w:i/>
        </w:rPr>
        <w:t>The leopard’s tale: revealing the mysteries of Çatalhöyük</w:t>
      </w:r>
      <w:r w:rsidR="00D17E89">
        <w:t xml:space="preserve">. London: Thames </w:t>
      </w:r>
      <w:r w:rsidR="00D17E89">
        <w:tab/>
        <w:t>&amp; Hudson.</w:t>
      </w:r>
    </w:p>
    <w:p w:rsidR="007315A9" w:rsidRDefault="00D80D94" w:rsidP="00DC02A7">
      <w:pPr>
        <w:spacing w:line="480" w:lineRule="auto"/>
      </w:pPr>
      <w:proofErr w:type="gramStart"/>
      <w:r>
        <w:t>Meskell, Lynn; 1998.</w:t>
      </w:r>
      <w:proofErr w:type="gramEnd"/>
      <w:r>
        <w:t xml:space="preserve"> </w:t>
      </w:r>
      <w:r w:rsidR="00074AE3">
        <w:t>“Twin peaks: the archaeologies of Çatalhöyük</w:t>
      </w:r>
      <w:r w:rsidR="00C00C19">
        <w:t xml:space="preserve">,” in </w:t>
      </w:r>
      <w:r>
        <w:rPr>
          <w:i/>
        </w:rPr>
        <w:t xml:space="preserve">Ancient goddesses: the </w:t>
      </w:r>
      <w:r w:rsidR="00C00C19">
        <w:rPr>
          <w:i/>
        </w:rPr>
        <w:tab/>
      </w:r>
      <w:r>
        <w:rPr>
          <w:i/>
        </w:rPr>
        <w:t>myths and the evidence</w:t>
      </w:r>
      <w:r>
        <w:t xml:space="preserve">. </w:t>
      </w:r>
      <w:r w:rsidR="00C00C19">
        <w:t xml:space="preserve">Edited by Lucy </w:t>
      </w:r>
      <w:proofErr w:type="spellStart"/>
      <w:r w:rsidR="00C00C19">
        <w:t>Goodison</w:t>
      </w:r>
      <w:proofErr w:type="spellEnd"/>
      <w:r w:rsidR="00C00C19">
        <w:t xml:space="preserve"> </w:t>
      </w:r>
      <w:r w:rsidR="007315A9">
        <w:t xml:space="preserve">and Christine Morris. </w:t>
      </w:r>
      <w:r w:rsidR="00C00C19">
        <w:t xml:space="preserve">London: </w:t>
      </w:r>
      <w:r>
        <w:t xml:space="preserve">British </w:t>
      </w:r>
      <w:r w:rsidR="00C00C19">
        <w:tab/>
      </w:r>
      <w:r>
        <w:t>Museum Press</w:t>
      </w:r>
      <w:r w:rsidR="007315A9">
        <w:t>, 46–62.</w:t>
      </w:r>
    </w:p>
    <w:p w:rsidR="004E00D0" w:rsidRDefault="00074AE3" w:rsidP="00DC02A7">
      <w:pPr>
        <w:spacing w:line="480" w:lineRule="auto"/>
      </w:pPr>
      <w:proofErr w:type="gramStart"/>
      <w:r>
        <w:t>Meskell, Lynn an</w:t>
      </w:r>
      <w:r w:rsidR="00161464">
        <w:t>d Carolyn Nakamura; 2009.</w:t>
      </w:r>
      <w:proofErr w:type="gramEnd"/>
      <w:r w:rsidR="00161464">
        <w:t xml:space="preserve"> </w:t>
      </w:r>
      <w:r w:rsidR="00C00C19">
        <w:t>“</w:t>
      </w:r>
      <w:r w:rsidR="00C00C19" w:rsidRPr="00C00C19">
        <w:t xml:space="preserve">Articulate </w:t>
      </w:r>
      <w:r w:rsidR="00C00C19">
        <w:t>bodies: forms and f</w:t>
      </w:r>
      <w:r w:rsidR="00C00C19" w:rsidRPr="00C00C19">
        <w:t xml:space="preserve">igures at </w:t>
      </w:r>
      <w:r w:rsidR="004E00D0">
        <w:tab/>
      </w:r>
      <w:r w:rsidR="00C00C19" w:rsidRPr="00C00C19">
        <w:t>Çatalhöyük</w:t>
      </w:r>
      <w:r w:rsidR="00C00C19">
        <w:t xml:space="preserve">,” </w:t>
      </w:r>
      <w:r w:rsidR="004E00D0">
        <w:rPr>
          <w:i/>
        </w:rPr>
        <w:t>Journal of Archaeological Method and Theory</w:t>
      </w:r>
      <w:r w:rsidR="004E00D0">
        <w:t xml:space="preserve"> 16: 205–30.</w:t>
      </w:r>
    </w:p>
    <w:p w:rsidR="00545ACB" w:rsidRPr="00E83829" w:rsidRDefault="004E00D0" w:rsidP="00DC02A7">
      <w:pPr>
        <w:spacing w:line="480" w:lineRule="auto"/>
      </w:pPr>
      <w:proofErr w:type="gramStart"/>
      <w:r>
        <w:t>Meskell, Lynn</w:t>
      </w:r>
      <w:r w:rsidR="00161464">
        <w:t xml:space="preserve">, Carolyn Nakamura, Rachel King, and </w:t>
      </w:r>
      <w:proofErr w:type="spellStart"/>
      <w:r w:rsidR="00161464">
        <w:t>Shahina</w:t>
      </w:r>
      <w:proofErr w:type="spellEnd"/>
      <w:r w:rsidR="00161464">
        <w:t xml:space="preserve"> </w:t>
      </w:r>
      <w:proofErr w:type="spellStart"/>
      <w:r w:rsidR="00161464">
        <w:t>Farid</w:t>
      </w:r>
      <w:proofErr w:type="spellEnd"/>
      <w:r w:rsidR="00161464">
        <w:t>; 2008.</w:t>
      </w:r>
      <w:proofErr w:type="gramEnd"/>
      <w:r w:rsidR="00161464">
        <w:t xml:space="preserve"> </w:t>
      </w:r>
      <w:proofErr w:type="gramStart"/>
      <w:r w:rsidR="00161464">
        <w:t>“</w:t>
      </w:r>
      <w:r w:rsidR="00E83829">
        <w:t xml:space="preserve">Figured </w:t>
      </w:r>
      <w:proofErr w:type="spellStart"/>
      <w:r w:rsidR="00E83829">
        <w:t>lifeworlds</w:t>
      </w:r>
      <w:proofErr w:type="spellEnd"/>
      <w:r w:rsidR="00E83829">
        <w:t xml:space="preserve"> </w:t>
      </w:r>
      <w:r w:rsidR="00E83829">
        <w:tab/>
        <w:t xml:space="preserve">and depositional practices at Çatalhöyük” in </w:t>
      </w:r>
      <w:r w:rsidR="00E83829">
        <w:rPr>
          <w:i/>
        </w:rPr>
        <w:t>Cambridge Archaeological Journal</w:t>
      </w:r>
      <w:r w:rsidR="00E83829">
        <w:t xml:space="preserve"> 18:2 </w:t>
      </w:r>
      <w:r w:rsidR="00E83829">
        <w:tab/>
        <w:t>139–61.</w:t>
      </w:r>
      <w:proofErr w:type="gramEnd"/>
    </w:p>
    <w:sectPr w:rsidR="00545ACB" w:rsidRPr="00E83829" w:rsidSect="00760C05">
      <w:headerReference w:type="default" r:id="rId9"/>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829" w:rsidRDefault="00E83829" w:rsidP="00545ACB">
    <w:pPr>
      <w:pStyle w:val="Header"/>
      <w:jc w:val="right"/>
    </w:pPr>
    <w:r>
      <w:t xml:space="preserve">Migliori </w:t>
    </w:r>
    <w:fldSimple w:instr=" PAGE  \* MERGEFORMAT ">
      <w:r w:rsidR="003632FE">
        <w:rPr>
          <w:noProof/>
        </w:rPr>
        <w:t>10</w:t>
      </w:r>
    </w:fldSimple>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embedSystemFonts/>
  <w:activeWritingStyle w:appName="MSWord" w:lang="en-US" w:vendorID="64" w:dllVersion="131078" w:nlCheck="1" w:checkStyle="1"/>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rsids>
    <w:rsidRoot w:val="0054196D"/>
    <w:rsid w:val="0000042A"/>
    <w:rsid w:val="0000647D"/>
    <w:rsid w:val="000064E5"/>
    <w:rsid w:val="00007FC0"/>
    <w:rsid w:val="000130D7"/>
    <w:rsid w:val="00023908"/>
    <w:rsid w:val="00051AF8"/>
    <w:rsid w:val="000608ED"/>
    <w:rsid w:val="0006116F"/>
    <w:rsid w:val="00070A86"/>
    <w:rsid w:val="0007181A"/>
    <w:rsid w:val="00074AE3"/>
    <w:rsid w:val="000770DD"/>
    <w:rsid w:val="000849C3"/>
    <w:rsid w:val="00087CCF"/>
    <w:rsid w:val="00096688"/>
    <w:rsid w:val="00096B15"/>
    <w:rsid w:val="000A2870"/>
    <w:rsid w:val="000B442E"/>
    <w:rsid w:val="000B4C9D"/>
    <w:rsid w:val="000B4CFC"/>
    <w:rsid w:val="000B6440"/>
    <w:rsid w:val="000B72B5"/>
    <w:rsid w:val="000C510F"/>
    <w:rsid w:val="000C51D4"/>
    <w:rsid w:val="000D113C"/>
    <w:rsid w:val="000D124D"/>
    <w:rsid w:val="000D2D30"/>
    <w:rsid w:val="000E5BBC"/>
    <w:rsid w:val="000E6961"/>
    <w:rsid w:val="000F267F"/>
    <w:rsid w:val="000F3678"/>
    <w:rsid w:val="000F542E"/>
    <w:rsid w:val="00111F91"/>
    <w:rsid w:val="00112B4E"/>
    <w:rsid w:val="001234BB"/>
    <w:rsid w:val="00125730"/>
    <w:rsid w:val="00125D55"/>
    <w:rsid w:val="00134367"/>
    <w:rsid w:val="0015234B"/>
    <w:rsid w:val="00156725"/>
    <w:rsid w:val="00156BB1"/>
    <w:rsid w:val="00161464"/>
    <w:rsid w:val="00170EAA"/>
    <w:rsid w:val="0019596B"/>
    <w:rsid w:val="001A28C4"/>
    <w:rsid w:val="001A3941"/>
    <w:rsid w:val="001B2FB1"/>
    <w:rsid w:val="001B4560"/>
    <w:rsid w:val="001C0B76"/>
    <w:rsid w:val="001C1970"/>
    <w:rsid w:val="001C5FAF"/>
    <w:rsid w:val="001D034C"/>
    <w:rsid w:val="001E07D3"/>
    <w:rsid w:val="001F3893"/>
    <w:rsid w:val="001F5CA3"/>
    <w:rsid w:val="002029CE"/>
    <w:rsid w:val="00204D6B"/>
    <w:rsid w:val="00210092"/>
    <w:rsid w:val="002305DF"/>
    <w:rsid w:val="00235CFE"/>
    <w:rsid w:val="00236EA1"/>
    <w:rsid w:val="00243B1B"/>
    <w:rsid w:val="002470DF"/>
    <w:rsid w:val="00256422"/>
    <w:rsid w:val="00263A0B"/>
    <w:rsid w:val="00280D23"/>
    <w:rsid w:val="00297B0B"/>
    <w:rsid w:val="002B4469"/>
    <w:rsid w:val="002B5572"/>
    <w:rsid w:val="002B7DFB"/>
    <w:rsid w:val="002C5DFC"/>
    <w:rsid w:val="002D21C3"/>
    <w:rsid w:val="002E7180"/>
    <w:rsid w:val="00304106"/>
    <w:rsid w:val="00313E5B"/>
    <w:rsid w:val="00330315"/>
    <w:rsid w:val="00344008"/>
    <w:rsid w:val="0034659D"/>
    <w:rsid w:val="003471A1"/>
    <w:rsid w:val="003509DA"/>
    <w:rsid w:val="003632FE"/>
    <w:rsid w:val="003639EA"/>
    <w:rsid w:val="00364192"/>
    <w:rsid w:val="003643D1"/>
    <w:rsid w:val="00366380"/>
    <w:rsid w:val="00383870"/>
    <w:rsid w:val="00397F4D"/>
    <w:rsid w:val="003B3733"/>
    <w:rsid w:val="003B60A3"/>
    <w:rsid w:val="003C50B8"/>
    <w:rsid w:val="003D6140"/>
    <w:rsid w:val="003E3AC4"/>
    <w:rsid w:val="00401F4A"/>
    <w:rsid w:val="00405118"/>
    <w:rsid w:val="00407A20"/>
    <w:rsid w:val="00413379"/>
    <w:rsid w:val="00422D82"/>
    <w:rsid w:val="00425C04"/>
    <w:rsid w:val="00432842"/>
    <w:rsid w:val="004475BD"/>
    <w:rsid w:val="0045426C"/>
    <w:rsid w:val="00474164"/>
    <w:rsid w:val="00494B81"/>
    <w:rsid w:val="004B25D6"/>
    <w:rsid w:val="004C0AF9"/>
    <w:rsid w:val="004C570A"/>
    <w:rsid w:val="004E00D0"/>
    <w:rsid w:val="004E3CF2"/>
    <w:rsid w:val="004F086F"/>
    <w:rsid w:val="00522570"/>
    <w:rsid w:val="00537432"/>
    <w:rsid w:val="0054500A"/>
    <w:rsid w:val="00545ACB"/>
    <w:rsid w:val="005508F7"/>
    <w:rsid w:val="005725D9"/>
    <w:rsid w:val="00573401"/>
    <w:rsid w:val="005A2AD4"/>
    <w:rsid w:val="005A2CDD"/>
    <w:rsid w:val="005B632F"/>
    <w:rsid w:val="005D0962"/>
    <w:rsid w:val="005D169D"/>
    <w:rsid w:val="005D2166"/>
    <w:rsid w:val="005D6658"/>
    <w:rsid w:val="00603A9E"/>
    <w:rsid w:val="006071F1"/>
    <w:rsid w:val="00613287"/>
    <w:rsid w:val="006148F6"/>
    <w:rsid w:val="006232CF"/>
    <w:rsid w:val="00630705"/>
    <w:rsid w:val="006309CD"/>
    <w:rsid w:val="00660B89"/>
    <w:rsid w:val="00661251"/>
    <w:rsid w:val="00665C05"/>
    <w:rsid w:val="006722A6"/>
    <w:rsid w:val="00684779"/>
    <w:rsid w:val="006B497C"/>
    <w:rsid w:val="006C66C5"/>
    <w:rsid w:val="006D32FA"/>
    <w:rsid w:val="006D7E35"/>
    <w:rsid w:val="00705272"/>
    <w:rsid w:val="0073109A"/>
    <w:rsid w:val="007315A9"/>
    <w:rsid w:val="00760C05"/>
    <w:rsid w:val="00772619"/>
    <w:rsid w:val="00777E5C"/>
    <w:rsid w:val="0078580D"/>
    <w:rsid w:val="007C16C8"/>
    <w:rsid w:val="007C741C"/>
    <w:rsid w:val="007D6659"/>
    <w:rsid w:val="007E494D"/>
    <w:rsid w:val="007E510F"/>
    <w:rsid w:val="007F2EA5"/>
    <w:rsid w:val="008024A3"/>
    <w:rsid w:val="00817FA3"/>
    <w:rsid w:val="00824773"/>
    <w:rsid w:val="008447E7"/>
    <w:rsid w:val="00850FB6"/>
    <w:rsid w:val="00860503"/>
    <w:rsid w:val="0086794A"/>
    <w:rsid w:val="0087414C"/>
    <w:rsid w:val="00890B4B"/>
    <w:rsid w:val="00894440"/>
    <w:rsid w:val="00897B3A"/>
    <w:rsid w:val="008C6498"/>
    <w:rsid w:val="008E7073"/>
    <w:rsid w:val="008F77BF"/>
    <w:rsid w:val="00961E5A"/>
    <w:rsid w:val="00963920"/>
    <w:rsid w:val="00996A73"/>
    <w:rsid w:val="009C0079"/>
    <w:rsid w:val="009E2351"/>
    <w:rsid w:val="009E58BC"/>
    <w:rsid w:val="009E608A"/>
    <w:rsid w:val="009F2D46"/>
    <w:rsid w:val="00A05E2F"/>
    <w:rsid w:val="00A13FB8"/>
    <w:rsid w:val="00A171E7"/>
    <w:rsid w:val="00A22496"/>
    <w:rsid w:val="00A3027B"/>
    <w:rsid w:val="00A358B0"/>
    <w:rsid w:val="00A41C37"/>
    <w:rsid w:val="00A61585"/>
    <w:rsid w:val="00A72F35"/>
    <w:rsid w:val="00A73CD5"/>
    <w:rsid w:val="00A779F8"/>
    <w:rsid w:val="00A839E4"/>
    <w:rsid w:val="00A91E84"/>
    <w:rsid w:val="00A929E0"/>
    <w:rsid w:val="00A95B45"/>
    <w:rsid w:val="00A96655"/>
    <w:rsid w:val="00AA2070"/>
    <w:rsid w:val="00AA4E2A"/>
    <w:rsid w:val="00AB2B67"/>
    <w:rsid w:val="00AC1893"/>
    <w:rsid w:val="00AC2536"/>
    <w:rsid w:val="00AC6E42"/>
    <w:rsid w:val="00AC7F61"/>
    <w:rsid w:val="00AD233B"/>
    <w:rsid w:val="00AD4D44"/>
    <w:rsid w:val="00AD6D05"/>
    <w:rsid w:val="00AE0F02"/>
    <w:rsid w:val="00AE469E"/>
    <w:rsid w:val="00B026FD"/>
    <w:rsid w:val="00B2722A"/>
    <w:rsid w:val="00B35876"/>
    <w:rsid w:val="00B61A06"/>
    <w:rsid w:val="00B63F7D"/>
    <w:rsid w:val="00B76F43"/>
    <w:rsid w:val="00B81632"/>
    <w:rsid w:val="00B866B6"/>
    <w:rsid w:val="00BA50E5"/>
    <w:rsid w:val="00BA6E97"/>
    <w:rsid w:val="00BB0371"/>
    <w:rsid w:val="00BE52C5"/>
    <w:rsid w:val="00BF4F17"/>
    <w:rsid w:val="00C00C19"/>
    <w:rsid w:val="00C01E0B"/>
    <w:rsid w:val="00C05412"/>
    <w:rsid w:val="00C07467"/>
    <w:rsid w:val="00C077E5"/>
    <w:rsid w:val="00C17B81"/>
    <w:rsid w:val="00C23C8B"/>
    <w:rsid w:val="00C52A54"/>
    <w:rsid w:val="00C53064"/>
    <w:rsid w:val="00C5699D"/>
    <w:rsid w:val="00C6692C"/>
    <w:rsid w:val="00C71516"/>
    <w:rsid w:val="00C7407F"/>
    <w:rsid w:val="00C751D1"/>
    <w:rsid w:val="00C769CA"/>
    <w:rsid w:val="00C83F38"/>
    <w:rsid w:val="00C85B7A"/>
    <w:rsid w:val="00CA4720"/>
    <w:rsid w:val="00CB2A8B"/>
    <w:rsid w:val="00CC56F5"/>
    <w:rsid w:val="00CC58A8"/>
    <w:rsid w:val="00CC78C3"/>
    <w:rsid w:val="00D03625"/>
    <w:rsid w:val="00D1266D"/>
    <w:rsid w:val="00D17E89"/>
    <w:rsid w:val="00D2180D"/>
    <w:rsid w:val="00D25D58"/>
    <w:rsid w:val="00D42463"/>
    <w:rsid w:val="00D43FA0"/>
    <w:rsid w:val="00D52791"/>
    <w:rsid w:val="00D6090D"/>
    <w:rsid w:val="00D61BFE"/>
    <w:rsid w:val="00D7125E"/>
    <w:rsid w:val="00D73727"/>
    <w:rsid w:val="00D80D94"/>
    <w:rsid w:val="00D90B80"/>
    <w:rsid w:val="00D927C5"/>
    <w:rsid w:val="00D9535E"/>
    <w:rsid w:val="00DA72B6"/>
    <w:rsid w:val="00DC02A7"/>
    <w:rsid w:val="00DD35F7"/>
    <w:rsid w:val="00DD651C"/>
    <w:rsid w:val="00DF6B67"/>
    <w:rsid w:val="00E10399"/>
    <w:rsid w:val="00E21F17"/>
    <w:rsid w:val="00E23311"/>
    <w:rsid w:val="00E307C6"/>
    <w:rsid w:val="00E34D19"/>
    <w:rsid w:val="00E47166"/>
    <w:rsid w:val="00E83829"/>
    <w:rsid w:val="00E84857"/>
    <w:rsid w:val="00E85761"/>
    <w:rsid w:val="00E9265F"/>
    <w:rsid w:val="00E95214"/>
    <w:rsid w:val="00EA2142"/>
    <w:rsid w:val="00EA3D31"/>
    <w:rsid w:val="00EC40FF"/>
    <w:rsid w:val="00EC4DD4"/>
    <w:rsid w:val="00EC58B5"/>
    <w:rsid w:val="00EE211A"/>
    <w:rsid w:val="00EF6945"/>
    <w:rsid w:val="00EF69C1"/>
    <w:rsid w:val="00F028A4"/>
    <w:rsid w:val="00F05401"/>
    <w:rsid w:val="00F121A4"/>
    <w:rsid w:val="00F143F4"/>
    <w:rsid w:val="00F14451"/>
    <w:rsid w:val="00F235FE"/>
    <w:rsid w:val="00F23A08"/>
    <w:rsid w:val="00F3700C"/>
    <w:rsid w:val="00F60A22"/>
    <w:rsid w:val="00F66B3D"/>
    <w:rsid w:val="00F775E6"/>
    <w:rsid w:val="00F858DF"/>
    <w:rsid w:val="00F86862"/>
    <w:rsid w:val="00F93B8E"/>
    <w:rsid w:val="00FA7329"/>
    <w:rsid w:val="00FE10AB"/>
    <w:rsid w:val="00FF11B1"/>
    <w:rsid w:val="00FF5D29"/>
    <w:rsid w:val="00FF6A53"/>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semiHidden/>
    <w:unhideWhenUsed/>
    <w:rsid w:val="00545ACB"/>
    <w:pPr>
      <w:tabs>
        <w:tab w:val="center" w:pos="4320"/>
        <w:tab w:val="right" w:pos="8640"/>
      </w:tabs>
    </w:pPr>
  </w:style>
  <w:style w:type="character" w:customStyle="1" w:styleId="HeaderChar">
    <w:name w:val="Header Char"/>
    <w:basedOn w:val="DefaultParagraphFont"/>
    <w:link w:val="Header"/>
    <w:uiPriority w:val="99"/>
    <w:semiHidden/>
    <w:rsid w:val="00545ACB"/>
    <w:rPr>
      <w:sz w:val="24"/>
      <w:szCs w:val="24"/>
    </w:rPr>
  </w:style>
  <w:style w:type="paragraph" w:styleId="Footer">
    <w:name w:val="footer"/>
    <w:basedOn w:val="Normal"/>
    <w:link w:val="FooterChar"/>
    <w:uiPriority w:val="99"/>
    <w:semiHidden/>
    <w:unhideWhenUsed/>
    <w:rsid w:val="00545ACB"/>
    <w:pPr>
      <w:tabs>
        <w:tab w:val="center" w:pos="4320"/>
        <w:tab w:val="right" w:pos="8640"/>
      </w:tabs>
    </w:pPr>
  </w:style>
  <w:style w:type="character" w:customStyle="1" w:styleId="FooterChar">
    <w:name w:val="Footer Char"/>
    <w:basedOn w:val="DefaultParagraphFont"/>
    <w:link w:val="Footer"/>
    <w:uiPriority w:val="99"/>
    <w:semiHidden/>
    <w:rsid w:val="00545ACB"/>
    <w:rPr>
      <w:sz w:val="24"/>
      <w:szCs w:val="24"/>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67779-3190-B84E-B5BC-4FC1D810E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10</Pages>
  <Words>2395</Words>
  <Characters>13657</Characters>
  <Application>Microsoft Macintosh Word</Application>
  <DocSecurity>0</DocSecurity>
  <Lines>113</Lines>
  <Paragraphs>27</Paragraphs>
  <ScaleCrop>false</ScaleCrop>
  <HeadingPairs>
    <vt:vector size="2" baseType="variant">
      <vt:variant>
        <vt:lpstr>Title</vt:lpstr>
      </vt:variant>
      <vt:variant>
        <vt:i4>1</vt:i4>
      </vt:variant>
    </vt:vector>
  </HeadingPairs>
  <TitlesOfParts>
    <vt:vector size="1" baseType="lpstr">
      <vt:lpstr>Jonathan Migliori</vt:lpstr>
    </vt:vector>
  </TitlesOfParts>
  <Company>Brown University</Company>
  <LinksUpToDate>false</LinksUpToDate>
  <CharactersWithSpaces>16771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Jonathan Migliori</dc:title>
  <dc:subject/>
  <dc:creator>Jonathan Migliori</dc:creator>
  <cp:keywords/>
  <cp:lastModifiedBy>Jonathan Migliori</cp:lastModifiedBy>
  <cp:revision>19</cp:revision>
  <cp:lastPrinted>2009-12-04T16:09:00Z</cp:lastPrinted>
  <dcterms:created xsi:type="dcterms:W3CDTF">2009-12-04T16:10:00Z</dcterms:created>
  <dcterms:modified xsi:type="dcterms:W3CDTF">2009-12-05T00:58:00Z</dcterms:modified>
</cp:coreProperties>
</file>